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BC1CC4" w14:textId="398DFE53" w:rsidR="007C72FA" w:rsidRPr="009F3E3E" w:rsidRDefault="009F3E3E" w:rsidP="009F3E3E">
      <w:pPr>
        <w:spacing w:after="0" w:line="240" w:lineRule="auto"/>
        <w:ind w:left="0" w:hanging="2"/>
        <w:jc w:val="center"/>
        <w:rPr>
          <w:rFonts w:ascii="Times New Roman" w:eastAsia="Times New Roman" w:hAnsi="Times New Roman" w:cs="Times New Roman"/>
          <w:b/>
          <w:sz w:val="24"/>
          <w:szCs w:val="24"/>
        </w:rPr>
      </w:pPr>
      <w:bookmarkStart w:id="0" w:name="_Hlk228276818"/>
      <w:r w:rsidRPr="009F3E3E">
        <w:rPr>
          <w:rFonts w:ascii="Times New Roman" w:eastAsia="Times New Roman" w:hAnsi="Times New Roman" w:cs="Times New Roman"/>
          <w:b/>
          <w:sz w:val="24"/>
          <w:szCs w:val="24"/>
        </w:rPr>
        <w:t xml:space="preserve">Correlational Assessment </w:t>
      </w:r>
      <w:r>
        <w:rPr>
          <w:rFonts w:ascii="Times New Roman" w:eastAsia="Times New Roman" w:hAnsi="Times New Roman" w:cs="Times New Roman"/>
          <w:b/>
          <w:sz w:val="24"/>
          <w:szCs w:val="24"/>
        </w:rPr>
        <w:t>o</w:t>
      </w:r>
      <w:r w:rsidRPr="009F3E3E">
        <w:rPr>
          <w:rFonts w:ascii="Times New Roman" w:eastAsia="Times New Roman" w:hAnsi="Times New Roman" w:cs="Times New Roman"/>
          <w:b/>
          <w:sz w:val="24"/>
          <w:szCs w:val="24"/>
        </w:rPr>
        <w:t xml:space="preserve">f Phonological </w:t>
      </w:r>
      <w:r>
        <w:rPr>
          <w:rFonts w:ascii="Times New Roman" w:eastAsia="Times New Roman" w:hAnsi="Times New Roman" w:cs="Times New Roman"/>
          <w:b/>
          <w:sz w:val="24"/>
          <w:szCs w:val="24"/>
        </w:rPr>
        <w:t>a</w:t>
      </w:r>
      <w:r w:rsidRPr="009F3E3E">
        <w:rPr>
          <w:rFonts w:ascii="Times New Roman" w:eastAsia="Times New Roman" w:hAnsi="Times New Roman" w:cs="Times New Roman"/>
          <w:b/>
          <w:sz w:val="24"/>
          <w:szCs w:val="24"/>
        </w:rPr>
        <w:t xml:space="preserve">wareness </w:t>
      </w:r>
      <w:r>
        <w:rPr>
          <w:rFonts w:ascii="Times New Roman" w:eastAsia="Times New Roman" w:hAnsi="Times New Roman" w:cs="Times New Roman"/>
          <w:b/>
          <w:sz w:val="24"/>
          <w:szCs w:val="24"/>
        </w:rPr>
        <w:t>a</w:t>
      </w:r>
      <w:r w:rsidRPr="009F3E3E">
        <w:rPr>
          <w:rFonts w:ascii="Times New Roman" w:eastAsia="Times New Roman" w:hAnsi="Times New Roman" w:cs="Times New Roman"/>
          <w:b/>
          <w:sz w:val="24"/>
          <w:szCs w:val="24"/>
        </w:rPr>
        <w:t xml:space="preserve">nd Academic Achievement </w:t>
      </w:r>
      <w:r>
        <w:rPr>
          <w:rFonts w:ascii="Times New Roman" w:eastAsia="Times New Roman" w:hAnsi="Times New Roman" w:cs="Times New Roman"/>
          <w:b/>
          <w:sz w:val="24"/>
          <w:szCs w:val="24"/>
        </w:rPr>
        <w:t>i</w:t>
      </w:r>
      <w:r w:rsidRPr="009F3E3E">
        <w:rPr>
          <w:rFonts w:ascii="Times New Roman" w:eastAsia="Times New Roman" w:hAnsi="Times New Roman" w:cs="Times New Roman"/>
          <w:b/>
          <w:sz w:val="24"/>
          <w:szCs w:val="24"/>
        </w:rPr>
        <w:t xml:space="preserve">n English, Social Studies </w:t>
      </w:r>
      <w:r>
        <w:rPr>
          <w:rFonts w:ascii="Times New Roman" w:eastAsia="Times New Roman" w:hAnsi="Times New Roman" w:cs="Times New Roman"/>
          <w:b/>
          <w:sz w:val="24"/>
          <w:szCs w:val="24"/>
        </w:rPr>
        <w:t>a</w:t>
      </w:r>
      <w:r w:rsidRPr="009F3E3E">
        <w:rPr>
          <w:rFonts w:ascii="Times New Roman" w:eastAsia="Times New Roman" w:hAnsi="Times New Roman" w:cs="Times New Roman"/>
          <w:b/>
          <w:sz w:val="24"/>
          <w:szCs w:val="24"/>
        </w:rPr>
        <w:t xml:space="preserve">nd Basic Science </w:t>
      </w:r>
      <w:r>
        <w:rPr>
          <w:rFonts w:ascii="Times New Roman" w:eastAsia="Times New Roman" w:hAnsi="Times New Roman" w:cs="Times New Roman"/>
          <w:b/>
          <w:sz w:val="24"/>
          <w:szCs w:val="24"/>
        </w:rPr>
        <w:t>a</w:t>
      </w:r>
      <w:r w:rsidRPr="009F3E3E">
        <w:rPr>
          <w:rFonts w:ascii="Times New Roman" w:eastAsia="Times New Roman" w:hAnsi="Times New Roman" w:cs="Times New Roman"/>
          <w:b/>
          <w:sz w:val="24"/>
          <w:szCs w:val="24"/>
        </w:rPr>
        <w:t xml:space="preserve">mong Basic </w:t>
      </w:r>
      <w:r w:rsidR="009C7602">
        <w:rPr>
          <w:rFonts w:ascii="Times New Roman" w:eastAsia="Times New Roman" w:hAnsi="Times New Roman" w:cs="Times New Roman"/>
          <w:b/>
          <w:sz w:val="24"/>
          <w:szCs w:val="24"/>
        </w:rPr>
        <w:t>Eight</w:t>
      </w:r>
      <w:r w:rsidRPr="009F3E3E">
        <w:rPr>
          <w:rFonts w:ascii="Times New Roman" w:eastAsia="Times New Roman" w:hAnsi="Times New Roman" w:cs="Times New Roman"/>
          <w:b/>
          <w:sz w:val="24"/>
          <w:szCs w:val="24"/>
        </w:rPr>
        <w:t xml:space="preserve"> Students </w:t>
      </w:r>
      <w:r>
        <w:rPr>
          <w:rFonts w:ascii="Times New Roman" w:eastAsia="Times New Roman" w:hAnsi="Times New Roman" w:cs="Times New Roman"/>
          <w:b/>
          <w:sz w:val="24"/>
          <w:szCs w:val="24"/>
        </w:rPr>
        <w:t>i</w:t>
      </w:r>
      <w:r w:rsidRPr="009F3E3E">
        <w:rPr>
          <w:rFonts w:ascii="Times New Roman" w:eastAsia="Times New Roman" w:hAnsi="Times New Roman" w:cs="Times New Roman"/>
          <w:b/>
          <w:sz w:val="24"/>
          <w:szCs w:val="24"/>
        </w:rPr>
        <w:t>n Kaduna State</w:t>
      </w:r>
      <w:r>
        <w:rPr>
          <w:rFonts w:ascii="Times New Roman" w:eastAsia="Times New Roman" w:hAnsi="Times New Roman" w:cs="Times New Roman"/>
          <w:b/>
          <w:sz w:val="24"/>
          <w:szCs w:val="24"/>
        </w:rPr>
        <w:t>, Nigeria</w:t>
      </w:r>
    </w:p>
    <w:p w14:paraId="3F95208E" w14:textId="77777777" w:rsidR="009F3E3E" w:rsidRDefault="009F3E3E" w:rsidP="009F3E3E">
      <w:pPr>
        <w:spacing w:after="0"/>
        <w:ind w:left="0" w:hanging="2"/>
        <w:jc w:val="center"/>
        <w:rPr>
          <w:rFonts w:ascii="Times New Roman" w:eastAsia="Times New Roman" w:hAnsi="Times New Roman" w:cs="Times New Roman"/>
          <w:b/>
          <w:sz w:val="20"/>
          <w:szCs w:val="20"/>
        </w:rPr>
      </w:pPr>
    </w:p>
    <w:p w14:paraId="3F9F9B3E" w14:textId="5BF35134" w:rsidR="007C72FA" w:rsidRPr="009F3E3E" w:rsidRDefault="007C72FA" w:rsidP="009F3E3E">
      <w:pPr>
        <w:spacing w:after="0" w:line="240" w:lineRule="auto"/>
        <w:ind w:left="0" w:hanging="2"/>
        <w:jc w:val="center"/>
        <w:rPr>
          <w:rFonts w:ascii="Times New Roman" w:eastAsia="Times New Roman" w:hAnsi="Times New Roman" w:cs="Times New Roman"/>
          <w:b/>
          <w:sz w:val="24"/>
          <w:szCs w:val="24"/>
        </w:rPr>
      </w:pPr>
      <w:r w:rsidRPr="009F3E3E">
        <w:rPr>
          <w:rFonts w:ascii="Times New Roman" w:eastAsia="Times New Roman" w:hAnsi="Times New Roman" w:cs="Times New Roman"/>
          <w:b/>
          <w:sz w:val="24"/>
          <w:szCs w:val="24"/>
        </w:rPr>
        <w:t>SAMUEL, Janet</w:t>
      </w:r>
      <w:r w:rsidR="009F3E3E" w:rsidRPr="009F3E3E">
        <w:rPr>
          <w:rFonts w:ascii="Times New Roman" w:eastAsia="Times New Roman" w:hAnsi="Times New Roman" w:cs="Times New Roman"/>
          <w:b/>
          <w:sz w:val="24"/>
          <w:szCs w:val="24"/>
          <w:vertAlign w:val="superscript"/>
        </w:rPr>
        <w:t>1</w:t>
      </w:r>
      <w:r w:rsidRPr="009F3E3E">
        <w:rPr>
          <w:rFonts w:ascii="Times New Roman" w:eastAsia="Times New Roman" w:hAnsi="Times New Roman" w:cs="Times New Roman"/>
          <w:b/>
          <w:sz w:val="24"/>
          <w:szCs w:val="24"/>
        </w:rPr>
        <w:t xml:space="preserve"> </w:t>
      </w:r>
    </w:p>
    <w:p w14:paraId="004884C5" w14:textId="77777777" w:rsidR="007C72FA" w:rsidRPr="009F3E3E" w:rsidRDefault="00000000" w:rsidP="009F3E3E">
      <w:pPr>
        <w:spacing w:after="0" w:line="240" w:lineRule="auto"/>
        <w:ind w:left="0" w:hanging="2"/>
        <w:jc w:val="center"/>
        <w:rPr>
          <w:rFonts w:ascii="Times New Roman" w:eastAsia="Times New Roman" w:hAnsi="Times New Roman" w:cs="Times New Roman"/>
          <w:sz w:val="20"/>
          <w:szCs w:val="20"/>
        </w:rPr>
      </w:pPr>
      <w:hyperlink r:id="rId7" w:history="1">
        <w:r w:rsidR="007C72FA" w:rsidRPr="009F3E3E">
          <w:rPr>
            <w:rStyle w:val="Hyperlink"/>
            <w:rFonts w:ascii="Times New Roman" w:eastAsia="Times New Roman" w:hAnsi="Times New Roman" w:cs="Times New Roman"/>
            <w:sz w:val="20"/>
            <w:szCs w:val="20"/>
          </w:rPr>
          <w:t>darlynzigi86@gmail.com</w:t>
        </w:r>
      </w:hyperlink>
    </w:p>
    <w:p w14:paraId="791A34E8" w14:textId="77777777" w:rsidR="007C72FA" w:rsidRDefault="007C72FA" w:rsidP="009F3E3E">
      <w:pPr>
        <w:spacing w:after="0" w:line="240" w:lineRule="auto"/>
        <w:ind w:left="0" w:hanging="2"/>
        <w:jc w:val="center"/>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09167678852</w:t>
      </w:r>
    </w:p>
    <w:p w14:paraId="03A545CC" w14:textId="77777777" w:rsidR="009F3E3E" w:rsidRPr="009F3E3E" w:rsidRDefault="009F3E3E" w:rsidP="009F3E3E">
      <w:pPr>
        <w:spacing w:after="0" w:line="240" w:lineRule="auto"/>
        <w:ind w:left="0" w:hanging="2"/>
        <w:jc w:val="center"/>
        <w:rPr>
          <w:rFonts w:ascii="Times New Roman" w:eastAsia="Times New Roman" w:hAnsi="Times New Roman" w:cs="Times New Roman"/>
          <w:sz w:val="20"/>
          <w:szCs w:val="20"/>
        </w:rPr>
      </w:pPr>
    </w:p>
    <w:p w14:paraId="0FEA98E5" w14:textId="3DA0363B" w:rsidR="007C72FA" w:rsidRDefault="009F3E3E" w:rsidP="009F3E3E">
      <w:pPr>
        <w:spacing w:after="0" w:line="240" w:lineRule="auto"/>
        <w:ind w:left="0" w:hanging="2"/>
        <w:jc w:val="center"/>
        <w:rPr>
          <w:rFonts w:ascii="Times New Roman" w:eastAsia="Times New Roman" w:hAnsi="Times New Roman" w:cs="Times New Roman"/>
          <w:bCs/>
          <w:sz w:val="20"/>
          <w:szCs w:val="20"/>
        </w:rPr>
      </w:pPr>
      <w:r w:rsidRPr="009F3E3E">
        <w:rPr>
          <w:rFonts w:ascii="Times New Roman" w:eastAsia="Times New Roman" w:hAnsi="Times New Roman" w:cs="Times New Roman"/>
          <w:bCs/>
          <w:sz w:val="20"/>
          <w:szCs w:val="20"/>
        </w:rPr>
        <w:t>&amp;</w:t>
      </w:r>
    </w:p>
    <w:p w14:paraId="4157AF77" w14:textId="77777777" w:rsidR="009F3E3E" w:rsidRPr="009F3E3E" w:rsidRDefault="009F3E3E" w:rsidP="009F3E3E">
      <w:pPr>
        <w:spacing w:after="0" w:line="240" w:lineRule="auto"/>
        <w:ind w:left="0" w:hanging="2"/>
        <w:jc w:val="center"/>
        <w:rPr>
          <w:rFonts w:ascii="Times New Roman" w:eastAsia="Times New Roman" w:hAnsi="Times New Roman" w:cs="Times New Roman"/>
          <w:bCs/>
          <w:sz w:val="20"/>
          <w:szCs w:val="20"/>
        </w:rPr>
      </w:pPr>
    </w:p>
    <w:p w14:paraId="36C6D366" w14:textId="2C6D482B" w:rsidR="007C72FA" w:rsidRPr="009F3E3E" w:rsidRDefault="00A532A7" w:rsidP="009F3E3E">
      <w:pPr>
        <w:spacing w:after="0" w:line="240" w:lineRule="auto"/>
        <w:ind w:left="0" w:hanging="2"/>
        <w:jc w:val="center"/>
        <w:rPr>
          <w:rFonts w:ascii="Times New Roman" w:eastAsia="Times New Roman" w:hAnsi="Times New Roman" w:cs="Times New Roman"/>
          <w:b/>
          <w:sz w:val="24"/>
          <w:szCs w:val="24"/>
        </w:rPr>
      </w:pPr>
      <w:r w:rsidRPr="009F3E3E">
        <w:rPr>
          <w:rFonts w:ascii="Times New Roman" w:eastAsia="Times New Roman" w:hAnsi="Times New Roman" w:cs="Times New Roman"/>
          <w:b/>
          <w:sz w:val="24"/>
          <w:szCs w:val="24"/>
        </w:rPr>
        <w:t>INUSA</w:t>
      </w:r>
      <w:r>
        <w:rPr>
          <w:rFonts w:ascii="Times New Roman" w:eastAsia="Times New Roman" w:hAnsi="Times New Roman" w:cs="Times New Roman"/>
          <w:b/>
          <w:sz w:val="24"/>
          <w:szCs w:val="24"/>
        </w:rPr>
        <w:t>,</w:t>
      </w:r>
      <w:r w:rsidRPr="009F3E3E">
        <w:rPr>
          <w:rFonts w:ascii="Times New Roman" w:eastAsia="Times New Roman" w:hAnsi="Times New Roman" w:cs="Times New Roman"/>
          <w:b/>
          <w:sz w:val="24"/>
          <w:szCs w:val="24"/>
        </w:rPr>
        <w:t xml:space="preserve"> Auwalu</w:t>
      </w:r>
      <w:r w:rsidR="009F3E3E" w:rsidRPr="009F3E3E">
        <w:rPr>
          <w:rFonts w:ascii="Times New Roman" w:eastAsia="Times New Roman" w:hAnsi="Times New Roman" w:cs="Times New Roman"/>
          <w:b/>
          <w:sz w:val="24"/>
          <w:szCs w:val="24"/>
          <w:vertAlign w:val="superscript"/>
        </w:rPr>
        <w:t>1</w:t>
      </w:r>
      <w:r w:rsidR="007C72FA" w:rsidRPr="009F3E3E">
        <w:rPr>
          <w:rFonts w:ascii="Times New Roman" w:eastAsia="Times New Roman" w:hAnsi="Times New Roman" w:cs="Times New Roman"/>
          <w:b/>
          <w:sz w:val="24"/>
          <w:szCs w:val="24"/>
        </w:rPr>
        <w:t xml:space="preserve"> </w:t>
      </w:r>
    </w:p>
    <w:p w14:paraId="04A8BE0F" w14:textId="6CA65C3F" w:rsidR="007C72FA" w:rsidRPr="009F3E3E" w:rsidRDefault="00000000" w:rsidP="009F3E3E">
      <w:pPr>
        <w:spacing w:after="0" w:line="240" w:lineRule="auto"/>
        <w:ind w:left="0" w:hanging="2"/>
        <w:jc w:val="center"/>
        <w:rPr>
          <w:rFonts w:ascii="Times New Roman" w:eastAsia="Times New Roman" w:hAnsi="Times New Roman" w:cs="Times New Roman"/>
          <w:sz w:val="20"/>
          <w:szCs w:val="20"/>
        </w:rPr>
      </w:pPr>
      <w:hyperlink r:id="rId8" w:history="1">
        <w:r w:rsidR="007C72FA" w:rsidRPr="009F3E3E">
          <w:rPr>
            <w:rStyle w:val="Hyperlink"/>
            <w:rFonts w:ascii="Times New Roman" w:eastAsia="Times New Roman" w:hAnsi="Times New Roman" w:cs="Times New Roman"/>
            <w:sz w:val="20"/>
            <w:szCs w:val="20"/>
          </w:rPr>
          <w:t>auwalyunus41@gmail.com</w:t>
        </w:r>
      </w:hyperlink>
    </w:p>
    <w:p w14:paraId="0E142B1E" w14:textId="07FD5E54" w:rsidR="007C72FA" w:rsidRPr="009F3E3E" w:rsidRDefault="007C72FA" w:rsidP="009F3E3E">
      <w:pPr>
        <w:spacing w:after="0" w:line="240" w:lineRule="auto"/>
        <w:ind w:left="0" w:hanging="2"/>
        <w:jc w:val="center"/>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08026130700</w:t>
      </w:r>
    </w:p>
    <w:p w14:paraId="2B78EA58" w14:textId="77777777" w:rsidR="007C72FA" w:rsidRPr="009F3E3E" w:rsidRDefault="007C72FA" w:rsidP="009F3E3E">
      <w:pPr>
        <w:spacing w:after="0" w:line="240" w:lineRule="auto"/>
        <w:ind w:left="0" w:hanging="2"/>
        <w:jc w:val="center"/>
        <w:rPr>
          <w:rFonts w:ascii="Times New Roman" w:eastAsia="Times New Roman" w:hAnsi="Times New Roman" w:cs="Times New Roman"/>
          <w:b/>
          <w:sz w:val="20"/>
          <w:szCs w:val="20"/>
        </w:rPr>
      </w:pPr>
    </w:p>
    <w:p w14:paraId="52D1F1EC" w14:textId="1498DEEA" w:rsidR="007C72FA" w:rsidRPr="009F3E3E" w:rsidRDefault="009F3E3E" w:rsidP="009F3E3E">
      <w:pPr>
        <w:spacing w:line="240" w:lineRule="auto"/>
        <w:ind w:left="0" w:hanging="2"/>
        <w:jc w:val="center"/>
        <w:rPr>
          <w:rFonts w:ascii="Times New Roman" w:eastAsia="Times New Roman" w:hAnsi="Times New Roman" w:cs="Times New Roman"/>
          <w:bCs/>
          <w:sz w:val="20"/>
          <w:szCs w:val="20"/>
        </w:rPr>
      </w:pPr>
      <w:r w:rsidRPr="009F3E3E">
        <w:rPr>
          <w:rFonts w:ascii="Times New Roman" w:eastAsia="Times New Roman" w:hAnsi="Times New Roman" w:cs="Times New Roman"/>
          <w:bCs/>
          <w:sz w:val="20"/>
          <w:szCs w:val="20"/>
          <w:vertAlign w:val="superscript"/>
        </w:rPr>
        <w:t>1</w:t>
      </w:r>
      <w:r w:rsidR="007C72FA" w:rsidRPr="009F3E3E">
        <w:rPr>
          <w:rFonts w:ascii="Times New Roman" w:eastAsia="Times New Roman" w:hAnsi="Times New Roman" w:cs="Times New Roman"/>
          <w:bCs/>
          <w:sz w:val="20"/>
          <w:szCs w:val="20"/>
        </w:rPr>
        <w:t>Department of Arts and Social Science Education, Ahmadu Bello University, Zaria, Kaduna State, Nigeria</w:t>
      </w:r>
    </w:p>
    <w:bookmarkEnd w:id="0"/>
    <w:p w14:paraId="10C38C32" w14:textId="77777777" w:rsidR="007C72FA" w:rsidRPr="009F3E3E" w:rsidRDefault="007C72FA" w:rsidP="009F3E3E">
      <w:pPr>
        <w:spacing w:after="0"/>
        <w:ind w:left="0" w:hanging="2"/>
        <w:rPr>
          <w:rFonts w:ascii="Times New Roman" w:eastAsia="Times New Roman" w:hAnsi="Times New Roman" w:cs="Times New Roman"/>
          <w:sz w:val="24"/>
          <w:szCs w:val="24"/>
        </w:rPr>
      </w:pPr>
      <w:r w:rsidRPr="009F3E3E">
        <w:rPr>
          <w:rFonts w:ascii="Times New Roman" w:eastAsia="Times New Roman" w:hAnsi="Times New Roman" w:cs="Times New Roman"/>
          <w:b/>
          <w:sz w:val="24"/>
          <w:szCs w:val="24"/>
        </w:rPr>
        <w:t>Abstract</w:t>
      </w:r>
    </w:p>
    <w:p w14:paraId="38E60E64" w14:textId="42B9ADD0" w:rsidR="007C72FA" w:rsidRPr="009F3E3E" w:rsidRDefault="007C72FA" w:rsidP="009F3E3E">
      <w:pPr>
        <w:spacing w:after="0" w:line="240" w:lineRule="auto"/>
        <w:ind w:left="0" w:hanging="2"/>
        <w:jc w:val="both"/>
        <w:rPr>
          <w:rFonts w:ascii="Times New Roman" w:eastAsia="Times New Roman" w:hAnsi="Times New Roman" w:cs="Times New Roman"/>
          <w:i/>
          <w:sz w:val="20"/>
          <w:szCs w:val="20"/>
        </w:rPr>
      </w:pPr>
      <w:r w:rsidRPr="009F3E3E">
        <w:rPr>
          <w:rFonts w:ascii="Times New Roman" w:eastAsia="Times New Roman" w:hAnsi="Times New Roman" w:cs="Times New Roman"/>
          <w:i/>
          <w:sz w:val="20"/>
          <w:szCs w:val="20"/>
        </w:rPr>
        <w:t xml:space="preserve">Grounded in the Phonological Processing Theory (Torgesen &amp; Wagner, 1987), which posits that efficient cognitive processing of sound structures is foundational for literacy, this study investigates the correlation between phonological awareness (PA) and academic achievement across three core subjects. The research was conducted among 255 Basic </w:t>
      </w:r>
      <w:r w:rsidR="009C7602">
        <w:rPr>
          <w:rFonts w:ascii="Times New Roman" w:eastAsia="Times New Roman" w:hAnsi="Times New Roman" w:cs="Times New Roman"/>
          <w:i/>
          <w:sz w:val="20"/>
          <w:szCs w:val="20"/>
        </w:rPr>
        <w:t>Eight</w:t>
      </w:r>
      <w:r w:rsidRPr="009F3E3E">
        <w:rPr>
          <w:rFonts w:ascii="Times New Roman" w:eastAsia="Times New Roman" w:hAnsi="Times New Roman" w:cs="Times New Roman"/>
          <w:i/>
          <w:sz w:val="20"/>
          <w:szCs w:val="20"/>
        </w:rPr>
        <w:t xml:space="preserve"> students in Kaduna State, Nigeria, a multilingual context where English is the primary medium of instruction. Employing a descriptive correlational design, data were collected using a standardized Phonological Awareness Test and validated end-of-term examinations in English Language, Social Studies, and Basic Science. Pearson Product-Moment Correlation analysis revealed a statistically significant, very strong positive relationship between students' PA scores and their achievement in English Language (r = .82, p &lt; .001). Further, strong and moderate positive correlations were found with achievement in Social Studies (r = .75, p &lt; .001) and Basic Science (r = .68, p &lt; .001), respectively. These findings affirm the central tenet of the theoretical framework, demonstrating that phonological awareness is not merely a skill for learning to read but a fundamental cognitive processor that underpins academic success across the curriculum. The study concludes that deficits in PA can create a significant bottleneck to knowledge acquisition in content-area subjects. Consequently, it is recommended that educational interventions designed to improve overall academic outcomes in junior secondary schools must integrate systematic, targeted support for this foundational skill.</w:t>
      </w:r>
    </w:p>
    <w:p w14:paraId="0AA3798D" w14:textId="77777777" w:rsidR="007C72FA" w:rsidRPr="009F3E3E" w:rsidRDefault="007C72FA" w:rsidP="009F3E3E">
      <w:pPr>
        <w:spacing w:after="0"/>
        <w:ind w:left="0" w:hanging="2"/>
        <w:jc w:val="both"/>
        <w:rPr>
          <w:rFonts w:ascii="Times New Roman" w:eastAsia="Times New Roman" w:hAnsi="Times New Roman" w:cs="Times New Roman"/>
          <w:i/>
          <w:sz w:val="20"/>
          <w:szCs w:val="20"/>
        </w:rPr>
      </w:pPr>
      <w:r w:rsidRPr="009F3E3E">
        <w:rPr>
          <w:rFonts w:ascii="Times New Roman" w:eastAsia="Times New Roman" w:hAnsi="Times New Roman" w:cs="Times New Roman"/>
          <w:b/>
          <w:sz w:val="20"/>
          <w:szCs w:val="20"/>
        </w:rPr>
        <w:t>Keywords:</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Cs/>
          <w:sz w:val="20"/>
          <w:szCs w:val="20"/>
        </w:rPr>
        <w:t>Phonological Processing Theory, Phonological Awareness, Academic Achievement, Cross-Curricular Literacy, Cognitive Load, Kaduna State, English as a Second Language (ESL).</w:t>
      </w:r>
    </w:p>
    <w:p w14:paraId="3C7AC1E8" w14:textId="77777777" w:rsidR="007C72FA" w:rsidRPr="009F3E3E" w:rsidRDefault="007C72FA" w:rsidP="009F3E3E">
      <w:pPr>
        <w:spacing w:after="0"/>
        <w:ind w:left="0" w:hanging="2"/>
        <w:rPr>
          <w:rFonts w:ascii="Times New Roman" w:eastAsia="Times New Roman" w:hAnsi="Times New Roman" w:cs="Times New Roman"/>
          <w:sz w:val="24"/>
          <w:szCs w:val="24"/>
        </w:rPr>
      </w:pPr>
      <w:r w:rsidRPr="009F3E3E">
        <w:rPr>
          <w:rFonts w:ascii="Times New Roman" w:eastAsia="Times New Roman" w:hAnsi="Times New Roman" w:cs="Times New Roman"/>
          <w:b/>
          <w:sz w:val="24"/>
          <w:szCs w:val="24"/>
        </w:rPr>
        <w:t xml:space="preserve">Introduction </w:t>
      </w:r>
    </w:p>
    <w:p w14:paraId="0E428076" w14:textId="729E6F25" w:rsidR="007C72FA" w:rsidRPr="009F3E3E" w:rsidRDefault="007C72FA" w:rsidP="009F3E3E">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The junior secondary school phase in Nigeria presents a significant linguistic challenge for students, who must navigate complex academic content delivered primarily in English. Success in subjects like English, Social Studies, and Basic Science is heavily contingent on a student's ability to efficiently process written and spoken language. While the importance of reading skills is acknowledged, the specific role of underlying phonological processing capacities in content-area learning remains underexplored in the Nigerian context, particularly in linguistically diverse regions like Kaduna State (Adeniji, 2023).</w:t>
      </w:r>
      <w:r w:rsid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sz w:val="20"/>
          <w:szCs w:val="20"/>
        </w:rPr>
        <w:t>This study is grounded in the Phonological Processing Theory proposed by Torgesen and Wagner (1987). This theory posits that efficient reading and learning depend on three core, interrelated components: phonological awareness (the ability to manipulate sounds in words), phonological memory (the temporary storage of sound-based information), and rapid automatized naming (the quick retrieval of phonological codes from long-term memory). Deficits in any of these areas can create a bottleneck, constraining the cognitive resources available for higher-order tasks like comprehension and knowledge integration across the curriculum.</w:t>
      </w:r>
      <w:r w:rsid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sz w:val="20"/>
          <w:szCs w:val="20"/>
        </w:rPr>
        <w:t>In the context of Basic 8 education, this theory suggests that a student's performance in a subject like Basic Science is not solely a reflection of their scientific reasoning but also of their ability to phonologically decode terms like "photosynthesis," hold multi-step instructions in working memory, and rapidly retrieve related vocabulary. Similarly, in Social Studies, understanding concepts like "democracy" requires efficient phonological processing to access and manipulate the associated information. For many students in Kaduna State, who are often learning in English as a second or third language, these phonological demands present a significant hidden barrier to academic achievement (Bala, 2023).</w:t>
      </w:r>
      <w:r w:rsid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sz w:val="20"/>
          <w:szCs w:val="20"/>
        </w:rPr>
        <w:t xml:space="preserve">This study, therefore, has investigated the relationship between one key component of this theory; phonological awareness, and academic achievement in three core subjects. The objective was to determine the strength of the correlation between PA and performance in English, Social Studies, and Basic Science. By doing so, it </w:t>
      </w:r>
      <w:r w:rsidRPr="009F3E3E">
        <w:rPr>
          <w:rFonts w:ascii="Times New Roman" w:eastAsia="Times New Roman" w:hAnsi="Times New Roman" w:cs="Times New Roman"/>
          <w:sz w:val="20"/>
          <w:szCs w:val="20"/>
        </w:rPr>
        <w:lastRenderedPageBreak/>
        <w:t>has provided an empirical basis for integrating phonological processing support into broader educational strategies, thereby enhancing overall academic outcomes.</w:t>
      </w:r>
    </w:p>
    <w:p w14:paraId="2846F574" w14:textId="77777777" w:rsidR="007C72FA" w:rsidRPr="009F3E3E" w:rsidRDefault="007C72FA" w:rsidP="009F3E3E">
      <w:pPr>
        <w:spacing w:after="0"/>
        <w:ind w:left="0" w:hanging="2"/>
        <w:rPr>
          <w:rFonts w:ascii="Times New Roman" w:eastAsia="Times New Roman" w:hAnsi="Times New Roman" w:cs="Times New Roman"/>
          <w:sz w:val="24"/>
          <w:szCs w:val="24"/>
        </w:rPr>
      </w:pPr>
      <w:r w:rsidRPr="009F3E3E">
        <w:rPr>
          <w:rFonts w:ascii="Times New Roman" w:eastAsia="Times New Roman" w:hAnsi="Times New Roman" w:cs="Times New Roman"/>
          <w:b/>
          <w:sz w:val="24"/>
          <w:szCs w:val="24"/>
        </w:rPr>
        <w:t xml:space="preserve">Literature Review </w:t>
      </w:r>
    </w:p>
    <w:p w14:paraId="587B07A2" w14:textId="45F56C06" w:rsidR="007C72FA" w:rsidRPr="009F3E3E" w:rsidRDefault="007C72FA" w:rsidP="009F3E3E">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The theoretical foundation for this research is firmly anchored in the Phonological Processing Theory (Torgesen &amp; Wagner, 1987). This framework moved beyond viewing phonological skills as a unitary construct and instead delineated specific cognitive mechanisms essential for literacy acquisition. According to this theory, phonological awareness allows for the segmentation and blending of words, which is critical for decoding. Phonological memory enables the temporary retention of verbal information (e.g., following a teacher's multi-step instruction), while rapid automatized naming (RAN) reflects the efficiency of retrieving phonological codes, which is crucial for reading fluency. The theory argues that weaknesses in these processing domains are a primary cause of reading difficulties and, by extension, challenges in learning from text.</w:t>
      </w:r>
      <w:r w:rsid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sz w:val="20"/>
          <w:szCs w:val="20"/>
        </w:rPr>
        <w:t>Empirical support for this theory is robust. Wagner and Torgesen (1987), in their seminal longitudinal studies, demonstrated that these three phonological processing abilities are significant and distinct predictors of reading skill development. Subsequent research has consistently shown that children with deficits in PA, phonological memory, or RAN are at a high risk for reading failure. In Nigeria, studies by Jimoh (2023) have applied aspects of this model, finding that deficits in phonological awareness were a primary distinguishing factor between skilled and less-skilled readers in junior secondary schools.</w:t>
      </w:r>
      <w:r w:rsid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sz w:val="20"/>
          <w:szCs w:val="20"/>
        </w:rPr>
        <w:t>The critical link to content-area learning lies in the cognitive load imposed by inefficient phonological processing. When a student must laboriously decode every word in a Science or Social Studies textbook, their working memory, the mental "workspace" for comprehension and problem-solving, becomes overwhelmed (</w:t>
      </w:r>
      <w:proofErr w:type="spellStart"/>
      <w:r w:rsidRPr="009F3E3E">
        <w:rPr>
          <w:rFonts w:ascii="Times New Roman" w:eastAsia="Times New Roman" w:hAnsi="Times New Roman" w:cs="Times New Roman"/>
          <w:sz w:val="20"/>
          <w:szCs w:val="20"/>
        </w:rPr>
        <w:t>Sweller</w:t>
      </w:r>
      <w:proofErr w:type="spellEnd"/>
      <w:r w:rsidRPr="009F3E3E">
        <w:rPr>
          <w:rFonts w:ascii="Times New Roman" w:eastAsia="Times New Roman" w:hAnsi="Times New Roman" w:cs="Times New Roman"/>
          <w:sz w:val="20"/>
          <w:szCs w:val="20"/>
        </w:rPr>
        <w:t>, 1988). Research by Abubakar (2023) in Northern Nigeria found that students who struggled with reading fluency also showed poor comprehension of Social Studies passages, not because they lacked historical understanding, but because their cognitive resources were consumed by the act of decoding. Similarly, Eze (2024) noted that mispronunciation and confusion over scientific terminology often stemmed from weak phonological representations of those words, leading to fundamental conceptual errors.</w:t>
      </w:r>
      <w:r w:rsid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sz w:val="20"/>
          <w:szCs w:val="20"/>
        </w:rPr>
        <w:t>However, a clear gap persists. Most Nigerian studies have focused on the relationship between phonological skills and English literacy in isolation. There is a scarcity of research that systematically applies the multi-component Phonological Processing Theory to investigate how its core dimensions, starting with phonological awareness, correlate with discrete achievement in content-area subjects within the unique multilingual environment of Kaduna state. This study aims to begin addressing this gap by focusing on the phonological awareness component and its cross-curricular implications.</w:t>
      </w:r>
    </w:p>
    <w:p w14:paraId="02E0C5C5" w14:textId="0F35905B" w:rsidR="007C72FA" w:rsidRPr="009F3E3E" w:rsidRDefault="009F3E3E" w:rsidP="009F3E3E">
      <w:pPr>
        <w:spacing w:after="0"/>
        <w:ind w:left="0" w:hanging="2"/>
        <w:rPr>
          <w:rFonts w:ascii="Times New Roman" w:eastAsia="Times New Roman" w:hAnsi="Times New Roman" w:cs="Times New Roman"/>
          <w:sz w:val="24"/>
          <w:szCs w:val="24"/>
        </w:rPr>
      </w:pPr>
      <w:r w:rsidRPr="009F3E3E">
        <w:rPr>
          <w:rFonts w:ascii="Times New Roman" w:eastAsia="Times New Roman" w:hAnsi="Times New Roman" w:cs="Times New Roman"/>
          <w:b/>
          <w:sz w:val="24"/>
          <w:szCs w:val="24"/>
        </w:rPr>
        <w:t xml:space="preserve">Research </w:t>
      </w:r>
      <w:r w:rsidR="007C72FA" w:rsidRPr="009F3E3E">
        <w:rPr>
          <w:rFonts w:ascii="Times New Roman" w:eastAsia="Times New Roman" w:hAnsi="Times New Roman" w:cs="Times New Roman"/>
          <w:b/>
          <w:sz w:val="24"/>
          <w:szCs w:val="24"/>
        </w:rPr>
        <w:t xml:space="preserve">Methodology </w:t>
      </w:r>
    </w:p>
    <w:p w14:paraId="19BF72E8" w14:textId="179D593F" w:rsidR="007C72FA" w:rsidRPr="009F3E3E" w:rsidRDefault="007C72FA" w:rsidP="00A35F82">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This study employed a descriptive correlational research design to measure the relationship between phonological awareness (the independent variable) and academic achievement in English, Social Studies, and Basic Science (the dependent variables).</w:t>
      </w:r>
      <w:r w:rsidR="009F3E3E">
        <w:rPr>
          <w:rFonts w:ascii="Times New Roman" w:eastAsia="Times New Roman" w:hAnsi="Times New Roman" w:cs="Times New Roman"/>
          <w:sz w:val="20"/>
          <w:szCs w:val="20"/>
        </w:rPr>
        <w:t xml:space="preserve"> </w:t>
      </w:r>
      <w:r w:rsidR="009F3E3E" w:rsidRPr="009F3E3E">
        <w:rPr>
          <w:rFonts w:ascii="Times New Roman" w:eastAsia="Times New Roman" w:hAnsi="Times New Roman" w:cs="Times New Roman"/>
          <w:sz w:val="20"/>
          <w:szCs w:val="20"/>
        </w:rPr>
        <w:t>A multi-stage sampling technique was used to select 250 Basic 8 students (125 males, 130 females) from three public secondary schools across the three senatorial districts of Kaduna State, ensuring representation of urban and rural settings.</w:t>
      </w:r>
      <w:r w:rsid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sz w:val="20"/>
          <w:szCs w:val="20"/>
        </w:rPr>
        <w:t>Phonological Awareness Test (PAT): A standardized instrument was used, comprising subtests aligned with the theory's definition of PA: syllable segmentation, phoneme isolation, phoneme blending, and phoneme deletion. The test demonstrated high reliability (Cronbach's alpha = 0.87).</w:t>
      </w:r>
      <w:r w:rsid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sz w:val="20"/>
          <w:szCs w:val="20"/>
        </w:rPr>
        <w:t>Academic Achievement Record (AAR): The official, cumulative end-of-term examination scores for third term in the three subjects: English Language, Social Studies, and Basic Science, were obtained from the school records for each participating student. These records, which are standardized across the state's public schools, were used as the measure of academic achievement.</w:t>
      </w:r>
      <w:r w:rsid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sz w:val="20"/>
          <w:szCs w:val="20"/>
        </w:rPr>
        <w:t>Data were collected over two weeks. The PAT was administered individually, while the Academic Achievement Records were collected from school administrative offices with permission from the Education Secretaries. The total scores of each student for each subject was used for analysis. Data were analyzed using Pearson Product-Moment Correlation (PPMC) to determine the relationship between PA scores achievement and scores in each subject (alpha = 0.05).</w:t>
      </w:r>
    </w:p>
    <w:p w14:paraId="26FF1972" w14:textId="77777777" w:rsidR="007C72FA" w:rsidRPr="009F3E3E" w:rsidRDefault="007C72FA" w:rsidP="009F3E3E">
      <w:pPr>
        <w:spacing w:after="0"/>
        <w:ind w:left="0" w:hanging="2"/>
        <w:rPr>
          <w:rFonts w:ascii="Times New Roman" w:eastAsia="Times New Roman" w:hAnsi="Times New Roman" w:cs="Times New Roman"/>
          <w:sz w:val="20"/>
          <w:szCs w:val="20"/>
        </w:rPr>
      </w:pPr>
      <w:r w:rsidRPr="009F3E3E">
        <w:rPr>
          <w:rFonts w:ascii="Times New Roman" w:eastAsia="Times New Roman" w:hAnsi="Times New Roman" w:cs="Times New Roman"/>
          <w:b/>
          <w:sz w:val="20"/>
          <w:szCs w:val="20"/>
        </w:rPr>
        <w:t xml:space="preserve">Research Question 1: </w:t>
      </w:r>
      <w:r w:rsidRPr="009F3E3E">
        <w:rPr>
          <w:rFonts w:ascii="Times New Roman" w:eastAsia="Times New Roman" w:hAnsi="Times New Roman" w:cs="Times New Roman"/>
          <w:sz w:val="20"/>
          <w:szCs w:val="20"/>
        </w:rPr>
        <w:t>What are the performance outcomes of Basic 8 students in Kaduna State across the five components of the Phonological Awareness Test?</w:t>
      </w:r>
    </w:p>
    <w:p w14:paraId="013E62A5" w14:textId="538EE03F" w:rsidR="007C72FA" w:rsidRPr="009F3E3E" w:rsidRDefault="007C72FA" w:rsidP="00A35F82">
      <w:pPr>
        <w:spacing w:after="0"/>
        <w:ind w:left="0" w:hanging="2"/>
        <w:rPr>
          <w:rFonts w:ascii="Times New Roman" w:eastAsia="Times New Roman" w:hAnsi="Times New Roman" w:cs="Times New Roman"/>
          <w:sz w:val="20"/>
          <w:szCs w:val="20"/>
        </w:rPr>
      </w:pPr>
      <w:r w:rsidRPr="009F3E3E">
        <w:rPr>
          <w:rFonts w:ascii="Times New Roman" w:eastAsia="Times New Roman" w:hAnsi="Times New Roman" w:cs="Times New Roman"/>
          <w:b/>
          <w:sz w:val="20"/>
          <w:szCs w:val="20"/>
        </w:rPr>
        <w:t>Table 1 Descriptive Analysis</w:t>
      </w:r>
    </w:p>
    <w:tbl>
      <w:tblPr>
        <w:tblW w:w="0" w:type="auto"/>
        <w:tblInd w:w="108"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1080"/>
        <w:gridCol w:w="1080"/>
        <w:gridCol w:w="1080"/>
        <w:gridCol w:w="1080"/>
        <w:gridCol w:w="1080"/>
        <w:gridCol w:w="1080"/>
        <w:gridCol w:w="1080"/>
        <w:gridCol w:w="1080"/>
      </w:tblGrid>
      <w:tr w:rsidR="007C72FA" w:rsidRPr="009F3E3E" w14:paraId="1DBB24F1" w14:textId="77777777" w:rsidTr="00A35F82">
        <w:trPr>
          <w:trHeight w:val="1"/>
        </w:trPr>
        <w:tc>
          <w:tcPr>
            <w:tcW w:w="1080" w:type="dxa"/>
            <w:tcBorders>
              <w:top w:val="single" w:sz="4" w:space="0" w:color="auto"/>
              <w:bottom w:val="single" w:sz="4" w:space="0" w:color="auto"/>
            </w:tcBorders>
            <w:shd w:val="clear" w:color="000000" w:fill="FFFFFF"/>
            <w:tcMar>
              <w:left w:w="108" w:type="dxa"/>
              <w:right w:w="108" w:type="dxa"/>
            </w:tcMar>
          </w:tcPr>
          <w:p w14:paraId="515AF25D"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Variable</w:t>
            </w:r>
          </w:p>
        </w:tc>
        <w:tc>
          <w:tcPr>
            <w:tcW w:w="1080" w:type="dxa"/>
            <w:tcBorders>
              <w:top w:val="single" w:sz="4" w:space="0" w:color="auto"/>
              <w:bottom w:val="single" w:sz="4" w:space="0" w:color="auto"/>
            </w:tcBorders>
            <w:shd w:val="clear" w:color="000000" w:fill="FFFFFF"/>
            <w:tcMar>
              <w:left w:w="108" w:type="dxa"/>
              <w:right w:w="108" w:type="dxa"/>
            </w:tcMar>
          </w:tcPr>
          <w:p w14:paraId="2910A9E3"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N</w:t>
            </w:r>
          </w:p>
        </w:tc>
        <w:tc>
          <w:tcPr>
            <w:tcW w:w="1080" w:type="dxa"/>
            <w:tcBorders>
              <w:top w:val="single" w:sz="4" w:space="0" w:color="auto"/>
              <w:bottom w:val="single" w:sz="4" w:space="0" w:color="auto"/>
            </w:tcBorders>
            <w:shd w:val="clear" w:color="000000" w:fill="FFFFFF"/>
            <w:tcMar>
              <w:left w:w="108" w:type="dxa"/>
              <w:right w:w="108" w:type="dxa"/>
            </w:tcMar>
          </w:tcPr>
          <w:p w14:paraId="7F522F12"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Mean</w:t>
            </w:r>
          </w:p>
        </w:tc>
        <w:tc>
          <w:tcPr>
            <w:tcW w:w="1080" w:type="dxa"/>
            <w:tcBorders>
              <w:top w:val="single" w:sz="4" w:space="0" w:color="auto"/>
              <w:bottom w:val="single" w:sz="4" w:space="0" w:color="auto"/>
            </w:tcBorders>
            <w:shd w:val="clear" w:color="000000" w:fill="FFFFFF"/>
            <w:tcMar>
              <w:left w:w="108" w:type="dxa"/>
              <w:right w:w="108" w:type="dxa"/>
            </w:tcMar>
          </w:tcPr>
          <w:p w14:paraId="0EE4BBEE"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SD</w:t>
            </w:r>
          </w:p>
        </w:tc>
        <w:tc>
          <w:tcPr>
            <w:tcW w:w="1080" w:type="dxa"/>
            <w:tcBorders>
              <w:top w:val="single" w:sz="4" w:space="0" w:color="auto"/>
              <w:bottom w:val="single" w:sz="4" w:space="0" w:color="auto"/>
            </w:tcBorders>
            <w:shd w:val="clear" w:color="000000" w:fill="FFFFFF"/>
            <w:tcMar>
              <w:left w:w="108" w:type="dxa"/>
              <w:right w:w="108" w:type="dxa"/>
            </w:tcMar>
          </w:tcPr>
          <w:p w14:paraId="780A4CA2"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Median</w:t>
            </w:r>
          </w:p>
        </w:tc>
        <w:tc>
          <w:tcPr>
            <w:tcW w:w="1080" w:type="dxa"/>
            <w:tcBorders>
              <w:top w:val="single" w:sz="4" w:space="0" w:color="auto"/>
              <w:bottom w:val="single" w:sz="4" w:space="0" w:color="auto"/>
            </w:tcBorders>
            <w:shd w:val="clear" w:color="000000" w:fill="FFFFFF"/>
            <w:tcMar>
              <w:left w:w="108" w:type="dxa"/>
              <w:right w:w="108" w:type="dxa"/>
            </w:tcMar>
          </w:tcPr>
          <w:p w14:paraId="3E2AE561"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Min</w:t>
            </w:r>
          </w:p>
        </w:tc>
        <w:tc>
          <w:tcPr>
            <w:tcW w:w="1080" w:type="dxa"/>
            <w:tcBorders>
              <w:top w:val="single" w:sz="4" w:space="0" w:color="auto"/>
              <w:bottom w:val="single" w:sz="4" w:space="0" w:color="auto"/>
            </w:tcBorders>
            <w:shd w:val="clear" w:color="000000" w:fill="FFFFFF"/>
            <w:tcMar>
              <w:left w:w="108" w:type="dxa"/>
              <w:right w:w="108" w:type="dxa"/>
            </w:tcMar>
          </w:tcPr>
          <w:p w14:paraId="0EAE7DE7"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Max</w:t>
            </w:r>
          </w:p>
        </w:tc>
        <w:tc>
          <w:tcPr>
            <w:tcW w:w="1080" w:type="dxa"/>
            <w:tcBorders>
              <w:top w:val="single" w:sz="4" w:space="0" w:color="auto"/>
              <w:bottom w:val="single" w:sz="4" w:space="0" w:color="auto"/>
            </w:tcBorders>
            <w:shd w:val="clear" w:color="000000" w:fill="FFFFFF"/>
            <w:tcMar>
              <w:left w:w="108" w:type="dxa"/>
              <w:right w:w="108" w:type="dxa"/>
            </w:tcMar>
          </w:tcPr>
          <w:p w14:paraId="5720BB38"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Skew</w:t>
            </w:r>
          </w:p>
        </w:tc>
      </w:tr>
      <w:tr w:rsidR="007C72FA" w:rsidRPr="009F3E3E" w14:paraId="203FB9C1" w14:textId="77777777" w:rsidTr="00A35F82">
        <w:trPr>
          <w:trHeight w:val="1"/>
        </w:trPr>
        <w:tc>
          <w:tcPr>
            <w:tcW w:w="1080" w:type="dxa"/>
            <w:tcBorders>
              <w:top w:val="single" w:sz="4" w:space="0" w:color="auto"/>
            </w:tcBorders>
            <w:shd w:val="clear" w:color="000000" w:fill="FFFFFF"/>
            <w:tcMar>
              <w:left w:w="108" w:type="dxa"/>
              <w:right w:w="108" w:type="dxa"/>
            </w:tcMar>
          </w:tcPr>
          <w:p w14:paraId="2F8503F9"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WA</w:t>
            </w:r>
          </w:p>
        </w:tc>
        <w:tc>
          <w:tcPr>
            <w:tcW w:w="1080" w:type="dxa"/>
            <w:tcBorders>
              <w:top w:val="single" w:sz="4" w:space="0" w:color="auto"/>
            </w:tcBorders>
            <w:shd w:val="clear" w:color="000000" w:fill="FFFFFF"/>
            <w:tcMar>
              <w:left w:w="108" w:type="dxa"/>
              <w:right w:w="108" w:type="dxa"/>
            </w:tcMar>
          </w:tcPr>
          <w:p w14:paraId="1CF639CE"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255</w:t>
            </w:r>
          </w:p>
        </w:tc>
        <w:tc>
          <w:tcPr>
            <w:tcW w:w="1080" w:type="dxa"/>
            <w:tcBorders>
              <w:top w:val="single" w:sz="4" w:space="0" w:color="auto"/>
            </w:tcBorders>
            <w:shd w:val="clear" w:color="000000" w:fill="FFFFFF"/>
            <w:tcMar>
              <w:left w:w="108" w:type="dxa"/>
              <w:right w:w="108" w:type="dxa"/>
            </w:tcMar>
          </w:tcPr>
          <w:p w14:paraId="2D145F37"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2.18</w:t>
            </w:r>
          </w:p>
        </w:tc>
        <w:tc>
          <w:tcPr>
            <w:tcW w:w="1080" w:type="dxa"/>
            <w:tcBorders>
              <w:top w:val="single" w:sz="4" w:space="0" w:color="auto"/>
            </w:tcBorders>
            <w:shd w:val="clear" w:color="000000" w:fill="FFFFFF"/>
            <w:tcMar>
              <w:left w:w="108" w:type="dxa"/>
              <w:right w:w="108" w:type="dxa"/>
            </w:tcMar>
          </w:tcPr>
          <w:p w14:paraId="0195907C"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1.10</w:t>
            </w:r>
          </w:p>
        </w:tc>
        <w:tc>
          <w:tcPr>
            <w:tcW w:w="1080" w:type="dxa"/>
            <w:tcBorders>
              <w:top w:val="single" w:sz="4" w:space="0" w:color="auto"/>
            </w:tcBorders>
            <w:shd w:val="clear" w:color="000000" w:fill="FFFFFF"/>
            <w:tcMar>
              <w:left w:w="108" w:type="dxa"/>
              <w:right w:w="108" w:type="dxa"/>
            </w:tcMar>
          </w:tcPr>
          <w:p w14:paraId="61D48DCE"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2.00</w:t>
            </w:r>
          </w:p>
        </w:tc>
        <w:tc>
          <w:tcPr>
            <w:tcW w:w="1080" w:type="dxa"/>
            <w:tcBorders>
              <w:top w:val="single" w:sz="4" w:space="0" w:color="auto"/>
            </w:tcBorders>
            <w:shd w:val="clear" w:color="000000" w:fill="FFFFFF"/>
            <w:tcMar>
              <w:left w:w="108" w:type="dxa"/>
              <w:right w:w="108" w:type="dxa"/>
            </w:tcMar>
          </w:tcPr>
          <w:p w14:paraId="325110D9"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0.0</w:t>
            </w:r>
          </w:p>
        </w:tc>
        <w:tc>
          <w:tcPr>
            <w:tcW w:w="1080" w:type="dxa"/>
            <w:tcBorders>
              <w:top w:val="single" w:sz="4" w:space="0" w:color="auto"/>
            </w:tcBorders>
            <w:shd w:val="clear" w:color="000000" w:fill="FFFFFF"/>
            <w:tcMar>
              <w:left w:w="108" w:type="dxa"/>
              <w:right w:w="108" w:type="dxa"/>
            </w:tcMar>
          </w:tcPr>
          <w:p w14:paraId="6B00212F"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4.5</w:t>
            </w:r>
          </w:p>
        </w:tc>
        <w:tc>
          <w:tcPr>
            <w:tcW w:w="1080" w:type="dxa"/>
            <w:tcBorders>
              <w:top w:val="single" w:sz="4" w:space="0" w:color="auto"/>
            </w:tcBorders>
            <w:shd w:val="clear" w:color="000000" w:fill="FFFFFF"/>
            <w:tcMar>
              <w:left w:w="108" w:type="dxa"/>
              <w:right w:w="108" w:type="dxa"/>
            </w:tcMar>
          </w:tcPr>
          <w:p w14:paraId="7F05E56E"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-0.09</w:t>
            </w:r>
          </w:p>
        </w:tc>
      </w:tr>
      <w:tr w:rsidR="007C72FA" w:rsidRPr="009F3E3E" w14:paraId="0A0ECA09" w14:textId="77777777" w:rsidTr="00A35F82">
        <w:trPr>
          <w:trHeight w:val="1"/>
        </w:trPr>
        <w:tc>
          <w:tcPr>
            <w:tcW w:w="1080" w:type="dxa"/>
            <w:shd w:val="clear" w:color="000000" w:fill="FFFFFF"/>
            <w:tcMar>
              <w:left w:w="108" w:type="dxa"/>
              <w:right w:w="108" w:type="dxa"/>
            </w:tcMar>
          </w:tcPr>
          <w:p w14:paraId="47C5E047"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SA</w:t>
            </w:r>
          </w:p>
        </w:tc>
        <w:tc>
          <w:tcPr>
            <w:tcW w:w="1080" w:type="dxa"/>
            <w:shd w:val="clear" w:color="000000" w:fill="FFFFFF"/>
            <w:tcMar>
              <w:left w:w="108" w:type="dxa"/>
              <w:right w:w="108" w:type="dxa"/>
            </w:tcMar>
          </w:tcPr>
          <w:p w14:paraId="0D39E25B"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255</w:t>
            </w:r>
          </w:p>
        </w:tc>
        <w:tc>
          <w:tcPr>
            <w:tcW w:w="1080" w:type="dxa"/>
            <w:shd w:val="clear" w:color="000000" w:fill="FFFFFF"/>
            <w:tcMar>
              <w:left w:w="108" w:type="dxa"/>
              <w:right w:w="108" w:type="dxa"/>
            </w:tcMar>
          </w:tcPr>
          <w:p w14:paraId="00AD7961"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2.44</w:t>
            </w:r>
          </w:p>
        </w:tc>
        <w:tc>
          <w:tcPr>
            <w:tcW w:w="1080" w:type="dxa"/>
            <w:shd w:val="clear" w:color="000000" w:fill="FFFFFF"/>
            <w:tcMar>
              <w:left w:w="108" w:type="dxa"/>
              <w:right w:w="108" w:type="dxa"/>
            </w:tcMar>
          </w:tcPr>
          <w:p w14:paraId="1A163A2F"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1.19</w:t>
            </w:r>
          </w:p>
        </w:tc>
        <w:tc>
          <w:tcPr>
            <w:tcW w:w="1080" w:type="dxa"/>
            <w:shd w:val="clear" w:color="000000" w:fill="FFFFFF"/>
            <w:tcMar>
              <w:left w:w="108" w:type="dxa"/>
              <w:right w:w="108" w:type="dxa"/>
            </w:tcMar>
          </w:tcPr>
          <w:p w14:paraId="61C2DC8A"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2.50</w:t>
            </w:r>
          </w:p>
        </w:tc>
        <w:tc>
          <w:tcPr>
            <w:tcW w:w="1080" w:type="dxa"/>
            <w:shd w:val="clear" w:color="000000" w:fill="FFFFFF"/>
            <w:tcMar>
              <w:left w:w="108" w:type="dxa"/>
              <w:right w:w="108" w:type="dxa"/>
            </w:tcMar>
          </w:tcPr>
          <w:p w14:paraId="0B9379B5"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0.0</w:t>
            </w:r>
          </w:p>
        </w:tc>
        <w:tc>
          <w:tcPr>
            <w:tcW w:w="1080" w:type="dxa"/>
            <w:shd w:val="clear" w:color="000000" w:fill="FFFFFF"/>
            <w:tcMar>
              <w:left w:w="108" w:type="dxa"/>
              <w:right w:w="108" w:type="dxa"/>
            </w:tcMar>
          </w:tcPr>
          <w:p w14:paraId="33B0CF33"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5.0</w:t>
            </w:r>
          </w:p>
        </w:tc>
        <w:tc>
          <w:tcPr>
            <w:tcW w:w="1080" w:type="dxa"/>
            <w:shd w:val="clear" w:color="000000" w:fill="FFFFFF"/>
            <w:tcMar>
              <w:left w:w="108" w:type="dxa"/>
              <w:right w:w="108" w:type="dxa"/>
            </w:tcMar>
          </w:tcPr>
          <w:p w14:paraId="2109A515"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-0.24</w:t>
            </w:r>
          </w:p>
        </w:tc>
      </w:tr>
      <w:tr w:rsidR="007C72FA" w:rsidRPr="009F3E3E" w14:paraId="6BB2C1E7" w14:textId="77777777" w:rsidTr="00A35F82">
        <w:trPr>
          <w:trHeight w:val="1"/>
        </w:trPr>
        <w:tc>
          <w:tcPr>
            <w:tcW w:w="1080" w:type="dxa"/>
            <w:shd w:val="clear" w:color="000000" w:fill="FFFFFF"/>
            <w:tcMar>
              <w:left w:w="108" w:type="dxa"/>
              <w:right w:w="108" w:type="dxa"/>
            </w:tcMar>
          </w:tcPr>
          <w:p w14:paraId="74695F9B"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lastRenderedPageBreak/>
              <w:t>RA</w:t>
            </w:r>
          </w:p>
        </w:tc>
        <w:tc>
          <w:tcPr>
            <w:tcW w:w="1080" w:type="dxa"/>
            <w:shd w:val="clear" w:color="000000" w:fill="FFFFFF"/>
            <w:tcMar>
              <w:left w:w="108" w:type="dxa"/>
              <w:right w:w="108" w:type="dxa"/>
            </w:tcMar>
          </w:tcPr>
          <w:p w14:paraId="0985C130"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255</w:t>
            </w:r>
          </w:p>
        </w:tc>
        <w:tc>
          <w:tcPr>
            <w:tcW w:w="1080" w:type="dxa"/>
            <w:shd w:val="clear" w:color="000000" w:fill="FFFFFF"/>
            <w:tcMar>
              <w:left w:w="108" w:type="dxa"/>
              <w:right w:w="108" w:type="dxa"/>
            </w:tcMar>
          </w:tcPr>
          <w:p w14:paraId="6B50F5EC"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2.66</w:t>
            </w:r>
          </w:p>
        </w:tc>
        <w:tc>
          <w:tcPr>
            <w:tcW w:w="1080" w:type="dxa"/>
            <w:shd w:val="clear" w:color="000000" w:fill="FFFFFF"/>
            <w:tcMar>
              <w:left w:w="108" w:type="dxa"/>
              <w:right w:w="108" w:type="dxa"/>
            </w:tcMar>
          </w:tcPr>
          <w:p w14:paraId="1BF75460"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1.22</w:t>
            </w:r>
          </w:p>
        </w:tc>
        <w:tc>
          <w:tcPr>
            <w:tcW w:w="1080" w:type="dxa"/>
            <w:shd w:val="clear" w:color="000000" w:fill="FFFFFF"/>
            <w:tcMar>
              <w:left w:w="108" w:type="dxa"/>
              <w:right w:w="108" w:type="dxa"/>
            </w:tcMar>
          </w:tcPr>
          <w:p w14:paraId="7A6CA13E"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3.00</w:t>
            </w:r>
          </w:p>
        </w:tc>
        <w:tc>
          <w:tcPr>
            <w:tcW w:w="1080" w:type="dxa"/>
            <w:shd w:val="clear" w:color="000000" w:fill="FFFFFF"/>
            <w:tcMar>
              <w:left w:w="108" w:type="dxa"/>
              <w:right w:w="108" w:type="dxa"/>
            </w:tcMar>
          </w:tcPr>
          <w:p w14:paraId="3472B478"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0.0</w:t>
            </w:r>
          </w:p>
        </w:tc>
        <w:tc>
          <w:tcPr>
            <w:tcW w:w="1080" w:type="dxa"/>
            <w:shd w:val="clear" w:color="000000" w:fill="FFFFFF"/>
            <w:tcMar>
              <w:left w:w="108" w:type="dxa"/>
              <w:right w:w="108" w:type="dxa"/>
            </w:tcMar>
          </w:tcPr>
          <w:p w14:paraId="2F823DA1"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5.0</w:t>
            </w:r>
          </w:p>
        </w:tc>
        <w:tc>
          <w:tcPr>
            <w:tcW w:w="1080" w:type="dxa"/>
            <w:shd w:val="clear" w:color="000000" w:fill="FFFFFF"/>
            <w:tcMar>
              <w:left w:w="108" w:type="dxa"/>
              <w:right w:w="108" w:type="dxa"/>
            </w:tcMar>
          </w:tcPr>
          <w:p w14:paraId="328321C1"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-0.06</w:t>
            </w:r>
          </w:p>
        </w:tc>
      </w:tr>
      <w:tr w:rsidR="007C72FA" w:rsidRPr="009F3E3E" w14:paraId="5DA4F6E7" w14:textId="77777777" w:rsidTr="00A35F82">
        <w:trPr>
          <w:trHeight w:val="1"/>
        </w:trPr>
        <w:tc>
          <w:tcPr>
            <w:tcW w:w="1080" w:type="dxa"/>
            <w:shd w:val="clear" w:color="000000" w:fill="FFFFFF"/>
            <w:tcMar>
              <w:left w:w="108" w:type="dxa"/>
              <w:right w:w="108" w:type="dxa"/>
            </w:tcMar>
          </w:tcPr>
          <w:p w14:paraId="43C59E20"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ORA</w:t>
            </w:r>
          </w:p>
        </w:tc>
        <w:tc>
          <w:tcPr>
            <w:tcW w:w="1080" w:type="dxa"/>
            <w:shd w:val="clear" w:color="000000" w:fill="FFFFFF"/>
            <w:tcMar>
              <w:left w:w="108" w:type="dxa"/>
              <w:right w:w="108" w:type="dxa"/>
            </w:tcMar>
          </w:tcPr>
          <w:p w14:paraId="0F4FF7FC"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255</w:t>
            </w:r>
          </w:p>
        </w:tc>
        <w:tc>
          <w:tcPr>
            <w:tcW w:w="1080" w:type="dxa"/>
            <w:shd w:val="clear" w:color="000000" w:fill="FFFFFF"/>
            <w:tcMar>
              <w:left w:w="108" w:type="dxa"/>
              <w:right w:w="108" w:type="dxa"/>
            </w:tcMar>
          </w:tcPr>
          <w:p w14:paraId="09E94788"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2.97</w:t>
            </w:r>
          </w:p>
        </w:tc>
        <w:tc>
          <w:tcPr>
            <w:tcW w:w="1080" w:type="dxa"/>
            <w:shd w:val="clear" w:color="000000" w:fill="FFFFFF"/>
            <w:tcMar>
              <w:left w:w="108" w:type="dxa"/>
              <w:right w:w="108" w:type="dxa"/>
            </w:tcMar>
          </w:tcPr>
          <w:p w14:paraId="5569DCBC"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1.40</w:t>
            </w:r>
          </w:p>
        </w:tc>
        <w:tc>
          <w:tcPr>
            <w:tcW w:w="1080" w:type="dxa"/>
            <w:shd w:val="clear" w:color="000000" w:fill="FFFFFF"/>
            <w:tcMar>
              <w:left w:w="108" w:type="dxa"/>
              <w:right w:w="108" w:type="dxa"/>
            </w:tcMar>
          </w:tcPr>
          <w:p w14:paraId="5945F834"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3.00</w:t>
            </w:r>
          </w:p>
        </w:tc>
        <w:tc>
          <w:tcPr>
            <w:tcW w:w="1080" w:type="dxa"/>
            <w:shd w:val="clear" w:color="000000" w:fill="FFFFFF"/>
            <w:tcMar>
              <w:left w:w="108" w:type="dxa"/>
              <w:right w:w="108" w:type="dxa"/>
            </w:tcMar>
          </w:tcPr>
          <w:p w14:paraId="6C4FCFE9"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0.0</w:t>
            </w:r>
          </w:p>
        </w:tc>
        <w:tc>
          <w:tcPr>
            <w:tcW w:w="1080" w:type="dxa"/>
            <w:shd w:val="clear" w:color="000000" w:fill="FFFFFF"/>
            <w:tcMar>
              <w:left w:w="108" w:type="dxa"/>
              <w:right w:w="108" w:type="dxa"/>
            </w:tcMar>
          </w:tcPr>
          <w:p w14:paraId="4CE8027F"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5.0</w:t>
            </w:r>
          </w:p>
        </w:tc>
        <w:tc>
          <w:tcPr>
            <w:tcW w:w="1080" w:type="dxa"/>
            <w:shd w:val="clear" w:color="000000" w:fill="FFFFFF"/>
            <w:tcMar>
              <w:left w:w="108" w:type="dxa"/>
              <w:right w:w="108" w:type="dxa"/>
            </w:tcMar>
          </w:tcPr>
          <w:p w14:paraId="7BB4AEDB"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-0.42</w:t>
            </w:r>
          </w:p>
        </w:tc>
      </w:tr>
      <w:tr w:rsidR="007C72FA" w:rsidRPr="009F3E3E" w14:paraId="0007CF4E" w14:textId="77777777" w:rsidTr="00A35F82">
        <w:trPr>
          <w:trHeight w:val="1"/>
        </w:trPr>
        <w:tc>
          <w:tcPr>
            <w:tcW w:w="1080" w:type="dxa"/>
            <w:shd w:val="clear" w:color="000000" w:fill="FFFFFF"/>
            <w:tcMar>
              <w:left w:w="108" w:type="dxa"/>
              <w:right w:w="108" w:type="dxa"/>
            </w:tcMar>
          </w:tcPr>
          <w:p w14:paraId="1CA0D2C3"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PA10</w:t>
            </w:r>
          </w:p>
        </w:tc>
        <w:tc>
          <w:tcPr>
            <w:tcW w:w="1080" w:type="dxa"/>
            <w:shd w:val="clear" w:color="000000" w:fill="FFFFFF"/>
            <w:tcMar>
              <w:left w:w="108" w:type="dxa"/>
              <w:right w:w="108" w:type="dxa"/>
            </w:tcMar>
          </w:tcPr>
          <w:p w14:paraId="60C24A52"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255</w:t>
            </w:r>
          </w:p>
        </w:tc>
        <w:tc>
          <w:tcPr>
            <w:tcW w:w="1080" w:type="dxa"/>
            <w:shd w:val="clear" w:color="000000" w:fill="FFFFFF"/>
            <w:tcMar>
              <w:left w:w="108" w:type="dxa"/>
              <w:right w:w="108" w:type="dxa"/>
            </w:tcMar>
          </w:tcPr>
          <w:p w14:paraId="18AA1092"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4.99</w:t>
            </w:r>
          </w:p>
        </w:tc>
        <w:tc>
          <w:tcPr>
            <w:tcW w:w="1080" w:type="dxa"/>
            <w:shd w:val="clear" w:color="000000" w:fill="FFFFFF"/>
            <w:tcMar>
              <w:left w:w="108" w:type="dxa"/>
              <w:right w:w="108" w:type="dxa"/>
            </w:tcMar>
          </w:tcPr>
          <w:p w14:paraId="4F4A7047"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1.97</w:t>
            </w:r>
          </w:p>
        </w:tc>
        <w:tc>
          <w:tcPr>
            <w:tcW w:w="1080" w:type="dxa"/>
            <w:shd w:val="clear" w:color="000000" w:fill="FFFFFF"/>
            <w:tcMar>
              <w:left w:w="108" w:type="dxa"/>
              <w:right w:w="108" w:type="dxa"/>
            </w:tcMar>
          </w:tcPr>
          <w:p w14:paraId="75C23951"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4.50</w:t>
            </w:r>
          </w:p>
        </w:tc>
        <w:tc>
          <w:tcPr>
            <w:tcW w:w="1080" w:type="dxa"/>
            <w:shd w:val="clear" w:color="000000" w:fill="FFFFFF"/>
            <w:tcMar>
              <w:left w:w="108" w:type="dxa"/>
              <w:right w:w="108" w:type="dxa"/>
            </w:tcMar>
          </w:tcPr>
          <w:p w14:paraId="371DDD59"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2.0</w:t>
            </w:r>
          </w:p>
        </w:tc>
        <w:tc>
          <w:tcPr>
            <w:tcW w:w="1080" w:type="dxa"/>
            <w:shd w:val="clear" w:color="000000" w:fill="FFFFFF"/>
            <w:tcMar>
              <w:left w:w="108" w:type="dxa"/>
              <w:right w:w="108" w:type="dxa"/>
            </w:tcMar>
          </w:tcPr>
          <w:p w14:paraId="0FC1822A"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23.0</w:t>
            </w:r>
          </w:p>
        </w:tc>
        <w:tc>
          <w:tcPr>
            <w:tcW w:w="1080" w:type="dxa"/>
            <w:shd w:val="clear" w:color="000000" w:fill="FFFFFF"/>
            <w:tcMar>
              <w:left w:w="108" w:type="dxa"/>
              <w:right w:w="108" w:type="dxa"/>
            </w:tcMar>
          </w:tcPr>
          <w:p w14:paraId="0DAB4F24" w14:textId="77777777" w:rsidR="007C72FA" w:rsidRPr="009F3E3E" w:rsidRDefault="007C72FA" w:rsidP="00A35F82">
            <w:pPr>
              <w:spacing w:after="0" w:line="240" w:lineRule="auto"/>
              <w:ind w:left="0" w:hanging="2"/>
              <w:rPr>
                <w:sz w:val="20"/>
                <w:szCs w:val="20"/>
              </w:rPr>
            </w:pPr>
            <w:r w:rsidRPr="009F3E3E">
              <w:rPr>
                <w:rFonts w:ascii="Times New Roman" w:eastAsia="Times New Roman" w:hAnsi="Times New Roman" w:cs="Times New Roman"/>
                <w:sz w:val="20"/>
                <w:szCs w:val="20"/>
              </w:rPr>
              <w:t>3.13</w:t>
            </w:r>
          </w:p>
        </w:tc>
      </w:tr>
    </w:tbl>
    <w:p w14:paraId="76C397B8" w14:textId="1FE14943" w:rsidR="007C72FA" w:rsidRPr="009F3E3E" w:rsidRDefault="007C72FA" w:rsidP="00A35F82">
      <w:pPr>
        <w:ind w:left="0" w:hanging="2"/>
        <w:jc w:val="both"/>
        <w:rPr>
          <w:rFonts w:ascii="New times Roman" w:eastAsia="Times New Roman" w:hAnsi="New times Roman"/>
          <w:sz w:val="20"/>
          <w:szCs w:val="20"/>
        </w:rPr>
      </w:pPr>
      <w:r w:rsidRPr="009F3E3E">
        <w:rPr>
          <w:rFonts w:ascii="Times New Roman" w:eastAsia="Times New Roman" w:hAnsi="Times New Roman" w:cs="Times New Roman"/>
          <w:sz w:val="20"/>
          <w:szCs w:val="20"/>
        </w:rPr>
        <w:t>The results indicate that students performed moderately in all components of phonological awareness, with the highest performance recorded in Phoneme Awareness (Mean = 4.99) and the lowest in Word Awareness (Mean = 2.18). The skewness values suggest slightly negative distributions for WA, SA, RA, ORA, while PA10 shows positive skewness with high kurtosis.</w:t>
      </w:r>
      <w:r w:rsidR="00A35F82">
        <w:rPr>
          <w:rFonts w:ascii="Times New Roman" w:eastAsia="Times New Roman" w:hAnsi="Times New Roman" w:cs="Times New Roman"/>
          <w:sz w:val="20"/>
          <w:szCs w:val="20"/>
        </w:rPr>
        <w:t xml:space="preserve"> </w:t>
      </w:r>
      <w:r w:rsidRPr="00A35F82">
        <w:rPr>
          <w:rStyle w:val="Strong"/>
          <w:rFonts w:ascii="New times Roman" w:hAnsi="New times Roman"/>
          <w:b w:val="0"/>
          <w:bCs w:val="0"/>
          <w:sz w:val="20"/>
          <w:szCs w:val="20"/>
        </w:rPr>
        <w:t>Word Awareness (WA)</w:t>
      </w:r>
      <w:r w:rsidRPr="009F3E3E">
        <w:rPr>
          <w:rFonts w:ascii="New times Roman" w:hAnsi="New times Roman"/>
          <w:sz w:val="20"/>
          <w:szCs w:val="20"/>
        </w:rPr>
        <w:t xml:space="preserve"> – Mean = 2.18/5. Students demonstrated </w:t>
      </w:r>
      <w:r w:rsidRPr="009F3E3E">
        <w:rPr>
          <w:rStyle w:val="Emphasis"/>
          <w:rFonts w:ascii="New times Roman" w:hAnsi="New times Roman"/>
          <w:sz w:val="20"/>
          <w:szCs w:val="20"/>
        </w:rPr>
        <w:t>low-level awareness</w:t>
      </w:r>
      <w:r w:rsidRPr="009F3E3E">
        <w:rPr>
          <w:rFonts w:ascii="New times Roman" w:hAnsi="New times Roman"/>
          <w:sz w:val="20"/>
          <w:szCs w:val="20"/>
        </w:rPr>
        <w:t xml:space="preserve"> of words as distinct units in spoken sentences. This indicates limited ability to segment sentences into individual words, a foundational skill for developing higher phonological awareness.</w:t>
      </w:r>
      <w:r w:rsidR="00A35F82">
        <w:rPr>
          <w:rFonts w:ascii="New times Roman" w:hAnsi="New times Roman"/>
          <w:sz w:val="20"/>
          <w:szCs w:val="20"/>
        </w:rPr>
        <w:t xml:space="preserve"> </w:t>
      </w:r>
      <w:r w:rsidRPr="00A35F82">
        <w:rPr>
          <w:rStyle w:val="Strong"/>
          <w:rFonts w:ascii="New times Roman" w:hAnsi="New times Roman"/>
          <w:b w:val="0"/>
          <w:bCs w:val="0"/>
          <w:sz w:val="20"/>
          <w:szCs w:val="20"/>
        </w:rPr>
        <w:t>Syllable Awareness (SA)</w:t>
      </w:r>
      <w:r w:rsidRPr="009F3E3E">
        <w:rPr>
          <w:rFonts w:ascii="New times Roman" w:hAnsi="New times Roman"/>
          <w:sz w:val="20"/>
          <w:szCs w:val="20"/>
        </w:rPr>
        <w:t xml:space="preserve"> – Mean = 2.44/5. Performance improved slightly, suggesting moderate ability to recognize and manipulate syllables. Students may identify syllable boundaries but inconsistently apply this knowledge in reading or spelling tasks.</w:t>
      </w:r>
      <w:r w:rsidR="00A35F82">
        <w:rPr>
          <w:rFonts w:ascii="New times Roman" w:hAnsi="New times Roman"/>
          <w:sz w:val="20"/>
          <w:szCs w:val="20"/>
        </w:rPr>
        <w:t xml:space="preserve"> </w:t>
      </w:r>
      <w:r w:rsidRPr="00A35F82">
        <w:rPr>
          <w:rStyle w:val="Strong"/>
          <w:rFonts w:ascii="New times Roman" w:hAnsi="New times Roman"/>
          <w:b w:val="0"/>
          <w:bCs w:val="0"/>
          <w:sz w:val="20"/>
          <w:szCs w:val="20"/>
        </w:rPr>
        <w:t>Rhyme Awareness (RA)</w:t>
      </w:r>
      <w:r w:rsidRPr="009F3E3E">
        <w:rPr>
          <w:rFonts w:ascii="New times Roman" w:hAnsi="New times Roman"/>
          <w:sz w:val="20"/>
          <w:szCs w:val="20"/>
        </w:rPr>
        <w:t xml:space="preserve"> – Mean = 2.66/5. This moderate score shows some sensitivity to rhyme patterns, reflecting developing auditory discrimination. However, variability (SD = 1.22) suggests uneven exposure to rhyming activities or oral language experiences.</w:t>
      </w:r>
      <w:r w:rsidR="00A35F82">
        <w:rPr>
          <w:rFonts w:ascii="New times Roman" w:hAnsi="New times Roman"/>
          <w:sz w:val="20"/>
          <w:szCs w:val="20"/>
        </w:rPr>
        <w:t xml:space="preserve"> </w:t>
      </w:r>
      <w:r w:rsidRPr="00A35F82">
        <w:rPr>
          <w:rStyle w:val="Strong"/>
          <w:rFonts w:ascii="New times Roman" w:hAnsi="New times Roman"/>
          <w:b w:val="0"/>
          <w:bCs w:val="0"/>
          <w:sz w:val="20"/>
          <w:szCs w:val="20"/>
        </w:rPr>
        <w:t>Onset–Rime Awareness (ORA)</w:t>
      </w:r>
      <w:r w:rsidRPr="009F3E3E">
        <w:rPr>
          <w:rFonts w:ascii="New times Roman" w:hAnsi="New times Roman"/>
          <w:sz w:val="20"/>
          <w:szCs w:val="20"/>
        </w:rPr>
        <w:t xml:space="preserve"> – Mean = 2.97/5. This relatively higher mean indicates stronger skill in detecting onset (initial sound) and rime (ending sound) patterns, often linked to early reading decoding abilities.</w:t>
      </w:r>
      <w:r w:rsidR="00A35F82">
        <w:rPr>
          <w:rFonts w:ascii="New times Roman" w:hAnsi="New times Roman"/>
          <w:sz w:val="20"/>
          <w:szCs w:val="20"/>
        </w:rPr>
        <w:t xml:space="preserve"> </w:t>
      </w:r>
      <w:r w:rsidRPr="00A35F82">
        <w:rPr>
          <w:rStyle w:val="Strong"/>
          <w:rFonts w:ascii="New times Roman" w:hAnsi="New times Roman"/>
          <w:b w:val="0"/>
          <w:bCs w:val="0"/>
          <w:sz w:val="20"/>
          <w:szCs w:val="20"/>
        </w:rPr>
        <w:t>Phoneme Awareness (PA)</w:t>
      </w:r>
      <w:r w:rsidRPr="009F3E3E">
        <w:rPr>
          <w:rFonts w:ascii="New times Roman" w:hAnsi="New times Roman"/>
          <w:sz w:val="20"/>
          <w:szCs w:val="20"/>
        </w:rPr>
        <w:t xml:space="preserve"> – Mean = 4.99/10. When scaled equally (4.99/10 ≈ 2.50/5), students’ phoneme-level awareness remains </w:t>
      </w:r>
      <w:r w:rsidRPr="009F3E3E">
        <w:rPr>
          <w:rStyle w:val="Emphasis"/>
          <w:rFonts w:ascii="New times Roman" w:hAnsi="New times Roman"/>
          <w:sz w:val="20"/>
          <w:szCs w:val="20"/>
        </w:rPr>
        <w:t>moderate but underdeveloped</w:t>
      </w:r>
      <w:r w:rsidRPr="009F3E3E">
        <w:rPr>
          <w:rFonts w:ascii="New times Roman" w:hAnsi="New times Roman"/>
          <w:i/>
          <w:sz w:val="20"/>
          <w:szCs w:val="20"/>
        </w:rPr>
        <w:t>.</w:t>
      </w:r>
      <w:r w:rsidRPr="009F3E3E">
        <w:rPr>
          <w:rFonts w:ascii="New times Roman" w:hAnsi="New times Roman"/>
          <w:sz w:val="20"/>
          <w:szCs w:val="20"/>
        </w:rPr>
        <w:t xml:space="preserve"> Phoneme manipulation (such as blending, segmenting, and substitution) requires more advanced auditory analysis, explaining the lower relative performance.</w:t>
      </w:r>
      <w:r w:rsidR="00A35F82">
        <w:rPr>
          <w:rFonts w:ascii="New times Roman" w:hAnsi="New times Roman"/>
          <w:sz w:val="20"/>
          <w:szCs w:val="20"/>
        </w:rPr>
        <w:t xml:space="preserve"> </w:t>
      </w:r>
      <w:r w:rsidRPr="00A35F82">
        <w:rPr>
          <w:rStyle w:val="Strong"/>
          <w:rFonts w:ascii="New times Roman" w:hAnsi="New times Roman"/>
          <w:b w:val="0"/>
          <w:bCs w:val="0"/>
          <w:sz w:val="20"/>
          <w:szCs w:val="20"/>
        </w:rPr>
        <w:t>Distribution and Trends:</w:t>
      </w:r>
      <w:r w:rsidR="00A35F82">
        <w:rPr>
          <w:rStyle w:val="Strong"/>
          <w:rFonts w:ascii="New times Roman" w:hAnsi="New times Roman"/>
          <w:b w:val="0"/>
          <w:bCs w:val="0"/>
          <w:sz w:val="20"/>
          <w:szCs w:val="20"/>
        </w:rPr>
        <w:t xml:space="preserve"> </w:t>
      </w:r>
      <w:r w:rsidRPr="009F3E3E">
        <w:rPr>
          <w:rFonts w:ascii="New times Roman" w:eastAsia="Times New Roman" w:hAnsi="New times Roman"/>
          <w:sz w:val="20"/>
          <w:szCs w:val="20"/>
        </w:rPr>
        <w:t xml:space="preserve">The slightly </w:t>
      </w:r>
      <w:r w:rsidRPr="00A35F82">
        <w:rPr>
          <w:rStyle w:val="Strong"/>
          <w:rFonts w:ascii="New times Roman" w:eastAsia="Times New Roman" w:hAnsi="New times Roman"/>
          <w:b w:val="0"/>
          <w:bCs w:val="0"/>
          <w:sz w:val="20"/>
          <w:szCs w:val="20"/>
        </w:rPr>
        <w:t>negative skew</w:t>
      </w:r>
      <w:r w:rsidRPr="00A35F82">
        <w:rPr>
          <w:rFonts w:ascii="New times Roman" w:eastAsia="Times New Roman" w:hAnsi="New times Roman"/>
          <w:b/>
          <w:bCs/>
          <w:sz w:val="20"/>
          <w:szCs w:val="20"/>
        </w:rPr>
        <w:t xml:space="preserve"> </w:t>
      </w:r>
      <w:r w:rsidRPr="009F3E3E">
        <w:rPr>
          <w:rFonts w:ascii="New times Roman" w:eastAsia="Times New Roman" w:hAnsi="New times Roman"/>
          <w:sz w:val="20"/>
          <w:szCs w:val="20"/>
        </w:rPr>
        <w:t>in WA, SA, RA, and ORA suggests clustering of students around average-to-high scores with fewer very low performers.</w:t>
      </w:r>
      <w:r w:rsidR="00A35F82">
        <w:rPr>
          <w:rFonts w:ascii="New times Roman" w:eastAsia="Times New Roman" w:hAnsi="New times Roman"/>
          <w:sz w:val="20"/>
          <w:szCs w:val="20"/>
        </w:rPr>
        <w:t xml:space="preserve">; </w:t>
      </w:r>
      <w:r w:rsidRPr="009F3E3E">
        <w:rPr>
          <w:rFonts w:ascii="New times Roman" w:eastAsia="Times New Roman" w:hAnsi="New times Roman"/>
          <w:sz w:val="20"/>
          <w:szCs w:val="20"/>
        </w:rPr>
        <w:t xml:space="preserve">The </w:t>
      </w:r>
      <w:r w:rsidRPr="00A35F82">
        <w:rPr>
          <w:rStyle w:val="Strong"/>
          <w:rFonts w:ascii="New times Roman" w:eastAsia="Times New Roman" w:hAnsi="New times Roman"/>
          <w:b w:val="0"/>
          <w:bCs w:val="0"/>
          <w:sz w:val="20"/>
          <w:szCs w:val="20"/>
        </w:rPr>
        <w:t>high positive skew</w:t>
      </w:r>
      <w:r w:rsidRPr="009F3E3E">
        <w:rPr>
          <w:rFonts w:ascii="New times Roman" w:eastAsia="Times New Roman" w:hAnsi="New times Roman"/>
          <w:sz w:val="20"/>
          <w:szCs w:val="20"/>
        </w:rPr>
        <w:t xml:space="preserve"> in PA (3.13) implies many students scored low, with few high achievers, confirming that phoneme-level tasks were the most challenging.</w:t>
      </w:r>
      <w:r w:rsidR="00A35F82">
        <w:rPr>
          <w:rFonts w:ascii="New times Roman" w:eastAsia="Times New Roman" w:hAnsi="New times Roman"/>
          <w:sz w:val="20"/>
          <w:szCs w:val="20"/>
        </w:rPr>
        <w:t xml:space="preserve">; </w:t>
      </w:r>
      <w:r w:rsidRPr="009F3E3E">
        <w:rPr>
          <w:rFonts w:ascii="New times Roman" w:eastAsia="Times New Roman" w:hAnsi="New times Roman"/>
          <w:sz w:val="20"/>
          <w:szCs w:val="20"/>
        </w:rPr>
        <w:t xml:space="preserve">Overall, students showed </w:t>
      </w:r>
      <w:r w:rsidRPr="009F3E3E">
        <w:rPr>
          <w:rStyle w:val="Emphasis"/>
          <w:rFonts w:ascii="New times Roman" w:hAnsi="New times Roman"/>
          <w:sz w:val="20"/>
          <w:szCs w:val="20"/>
        </w:rPr>
        <w:t>progressive improvement</w:t>
      </w:r>
      <w:r w:rsidRPr="009F3E3E">
        <w:rPr>
          <w:rFonts w:ascii="New times Roman" w:eastAsia="Times New Roman" w:hAnsi="New times Roman"/>
          <w:sz w:val="20"/>
          <w:szCs w:val="20"/>
        </w:rPr>
        <w:t xml:space="preserve"> from broad word recognition to finer phonological tasks, consistent with the hierarchical development of phonological awareness. </w:t>
      </w:r>
    </w:p>
    <w:p w14:paraId="48A0571E" w14:textId="77777777" w:rsidR="007C72FA" w:rsidRPr="009F3E3E" w:rsidRDefault="007C72FA" w:rsidP="00A35F82">
      <w:pPr>
        <w:spacing w:after="0"/>
        <w:ind w:left="0" w:hanging="2"/>
        <w:rPr>
          <w:rFonts w:ascii="Times New Roman" w:eastAsia="Times New Roman" w:hAnsi="Times New Roman" w:cs="Times New Roman"/>
          <w:sz w:val="20"/>
          <w:szCs w:val="20"/>
        </w:rPr>
      </w:pPr>
      <w:r w:rsidRPr="009F3E3E">
        <w:rPr>
          <w:rFonts w:ascii="Times New Roman" w:eastAsia="Times New Roman" w:hAnsi="Times New Roman" w:cs="Times New Roman"/>
          <w:b/>
          <w:sz w:val="20"/>
          <w:szCs w:val="20"/>
        </w:rPr>
        <w:t xml:space="preserve">Research Question 2: </w:t>
      </w:r>
      <w:r w:rsidRPr="009F3E3E">
        <w:rPr>
          <w:rFonts w:ascii="Times New Roman" w:eastAsia="Times New Roman" w:hAnsi="Times New Roman" w:cs="Times New Roman"/>
          <w:sz w:val="20"/>
          <w:szCs w:val="20"/>
        </w:rPr>
        <w:t>How is performance in the Phonological Awareness Test connected to performance in English, Social Studies, and Basic Science among Basic 8 students in Kaduna State?</w:t>
      </w:r>
    </w:p>
    <w:p w14:paraId="53D61D9F" w14:textId="4002751D" w:rsidR="007C72FA" w:rsidRPr="009F3E3E" w:rsidRDefault="007C72FA" w:rsidP="00A35F82">
      <w:pPr>
        <w:spacing w:after="0"/>
        <w:ind w:left="0" w:hanging="2"/>
        <w:rPr>
          <w:rFonts w:ascii="Times New Roman" w:eastAsia="Times New Roman" w:hAnsi="Times New Roman" w:cs="Times New Roman"/>
          <w:b/>
          <w:sz w:val="20"/>
          <w:szCs w:val="20"/>
        </w:rPr>
      </w:pPr>
      <w:r w:rsidRPr="009F3E3E">
        <w:rPr>
          <w:rFonts w:ascii="Times New Roman" w:eastAsia="Times New Roman" w:hAnsi="Times New Roman" w:cs="Times New Roman"/>
          <w:b/>
          <w:sz w:val="20"/>
          <w:szCs w:val="20"/>
        </w:rPr>
        <w:t>Table 2</w:t>
      </w:r>
      <w:r w:rsidR="00A35F82">
        <w:rPr>
          <w:rFonts w:ascii="Times New Roman" w:eastAsia="Times New Roman" w:hAnsi="Times New Roman" w:cs="Times New Roman"/>
          <w:b/>
          <w:sz w:val="20"/>
          <w:szCs w:val="20"/>
        </w:rPr>
        <w:t>:</w:t>
      </w:r>
      <w:r w:rsidRPr="009F3E3E">
        <w:rPr>
          <w:rFonts w:ascii="Times New Roman" w:eastAsia="Times New Roman" w:hAnsi="Times New Roman" w:cs="Times New Roman"/>
          <w:b/>
          <w:sz w:val="20"/>
          <w:szCs w:val="20"/>
        </w:rPr>
        <w:t xml:space="preserve"> Correlational Analysis</w:t>
      </w:r>
    </w:p>
    <w:tbl>
      <w:tblPr>
        <w:tblW w:w="0" w:type="auto"/>
        <w:tblInd w:w="108"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2160"/>
        <w:gridCol w:w="2160"/>
        <w:gridCol w:w="2160"/>
        <w:gridCol w:w="2160"/>
      </w:tblGrid>
      <w:tr w:rsidR="007C72FA" w:rsidRPr="009F3E3E" w14:paraId="0569D5F3" w14:textId="77777777" w:rsidTr="00A35F82">
        <w:trPr>
          <w:trHeight w:val="1"/>
        </w:trPr>
        <w:tc>
          <w:tcPr>
            <w:tcW w:w="2160" w:type="dxa"/>
            <w:tcBorders>
              <w:top w:val="single" w:sz="4" w:space="0" w:color="auto"/>
              <w:bottom w:val="single" w:sz="4" w:space="0" w:color="auto"/>
            </w:tcBorders>
            <w:shd w:val="clear" w:color="000000" w:fill="FFFFFF"/>
            <w:tcMar>
              <w:left w:w="108" w:type="dxa"/>
              <w:right w:w="108" w:type="dxa"/>
            </w:tcMar>
          </w:tcPr>
          <w:p w14:paraId="583B4DAD"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Variables</w:t>
            </w:r>
          </w:p>
        </w:tc>
        <w:tc>
          <w:tcPr>
            <w:tcW w:w="2160" w:type="dxa"/>
            <w:tcBorders>
              <w:top w:val="single" w:sz="4" w:space="0" w:color="auto"/>
              <w:bottom w:val="single" w:sz="4" w:space="0" w:color="auto"/>
            </w:tcBorders>
            <w:shd w:val="clear" w:color="000000" w:fill="FFFFFF"/>
            <w:tcMar>
              <w:left w:w="108" w:type="dxa"/>
              <w:right w:w="108" w:type="dxa"/>
            </w:tcMar>
          </w:tcPr>
          <w:p w14:paraId="761FDBC8"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English</w:t>
            </w:r>
          </w:p>
        </w:tc>
        <w:tc>
          <w:tcPr>
            <w:tcW w:w="2160" w:type="dxa"/>
            <w:tcBorders>
              <w:top w:val="single" w:sz="4" w:space="0" w:color="auto"/>
              <w:bottom w:val="single" w:sz="4" w:space="0" w:color="auto"/>
            </w:tcBorders>
            <w:shd w:val="clear" w:color="000000" w:fill="FFFFFF"/>
            <w:tcMar>
              <w:left w:w="108" w:type="dxa"/>
              <w:right w:w="108" w:type="dxa"/>
            </w:tcMar>
          </w:tcPr>
          <w:p w14:paraId="3F3F841D"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Social Studies</w:t>
            </w:r>
          </w:p>
        </w:tc>
        <w:tc>
          <w:tcPr>
            <w:tcW w:w="2160" w:type="dxa"/>
            <w:tcBorders>
              <w:top w:val="single" w:sz="4" w:space="0" w:color="auto"/>
              <w:bottom w:val="single" w:sz="4" w:space="0" w:color="auto"/>
            </w:tcBorders>
            <w:shd w:val="clear" w:color="000000" w:fill="FFFFFF"/>
            <w:tcMar>
              <w:left w:w="108" w:type="dxa"/>
              <w:right w:w="108" w:type="dxa"/>
            </w:tcMar>
          </w:tcPr>
          <w:p w14:paraId="02BC1B24"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Basic Science</w:t>
            </w:r>
          </w:p>
        </w:tc>
      </w:tr>
      <w:tr w:rsidR="007C72FA" w:rsidRPr="009F3E3E" w14:paraId="1BD86CF8" w14:textId="77777777" w:rsidTr="00A35F82">
        <w:trPr>
          <w:trHeight w:val="1"/>
        </w:trPr>
        <w:tc>
          <w:tcPr>
            <w:tcW w:w="2160" w:type="dxa"/>
            <w:tcBorders>
              <w:top w:val="single" w:sz="4" w:space="0" w:color="auto"/>
            </w:tcBorders>
            <w:shd w:val="clear" w:color="000000" w:fill="FFFFFF"/>
            <w:tcMar>
              <w:left w:w="108" w:type="dxa"/>
              <w:right w:w="108" w:type="dxa"/>
            </w:tcMar>
          </w:tcPr>
          <w:p w14:paraId="484182A7"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Phonological Awareness</w:t>
            </w:r>
          </w:p>
        </w:tc>
        <w:tc>
          <w:tcPr>
            <w:tcW w:w="2160" w:type="dxa"/>
            <w:tcBorders>
              <w:top w:val="single" w:sz="4" w:space="0" w:color="auto"/>
            </w:tcBorders>
            <w:shd w:val="clear" w:color="000000" w:fill="FFFFFF"/>
            <w:tcMar>
              <w:left w:w="108" w:type="dxa"/>
              <w:right w:w="108" w:type="dxa"/>
            </w:tcMar>
          </w:tcPr>
          <w:p w14:paraId="143E140F"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0.82**</w:t>
            </w:r>
          </w:p>
        </w:tc>
        <w:tc>
          <w:tcPr>
            <w:tcW w:w="2160" w:type="dxa"/>
            <w:tcBorders>
              <w:top w:val="single" w:sz="4" w:space="0" w:color="auto"/>
            </w:tcBorders>
            <w:shd w:val="clear" w:color="000000" w:fill="FFFFFF"/>
            <w:tcMar>
              <w:left w:w="108" w:type="dxa"/>
              <w:right w:w="108" w:type="dxa"/>
            </w:tcMar>
          </w:tcPr>
          <w:p w14:paraId="2C942E03"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0.75**</w:t>
            </w:r>
          </w:p>
        </w:tc>
        <w:tc>
          <w:tcPr>
            <w:tcW w:w="2160" w:type="dxa"/>
            <w:tcBorders>
              <w:top w:val="single" w:sz="4" w:space="0" w:color="auto"/>
            </w:tcBorders>
            <w:shd w:val="clear" w:color="000000" w:fill="FFFFFF"/>
            <w:tcMar>
              <w:left w:w="108" w:type="dxa"/>
              <w:right w:w="108" w:type="dxa"/>
            </w:tcMar>
          </w:tcPr>
          <w:p w14:paraId="4BB5E329"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0.68**</w:t>
            </w:r>
          </w:p>
        </w:tc>
      </w:tr>
    </w:tbl>
    <w:p w14:paraId="7DCF7588" w14:textId="41CF2354" w:rsidR="007C72FA" w:rsidRPr="009F3E3E" w:rsidRDefault="007C72FA" w:rsidP="00A35F82">
      <w:pPr>
        <w:spacing w:after="0"/>
        <w:ind w:left="0" w:hanging="2"/>
        <w:jc w:val="both"/>
        <w:rPr>
          <w:rFonts w:ascii="New times Roman" w:eastAsia="Times New Roman" w:hAnsi="New times Roman"/>
          <w:sz w:val="20"/>
          <w:szCs w:val="20"/>
        </w:rPr>
      </w:pPr>
      <w:r w:rsidRPr="009F3E3E">
        <w:rPr>
          <w:rFonts w:ascii="Times New Roman" w:eastAsia="Times New Roman" w:hAnsi="Times New Roman" w:cs="Times New Roman"/>
          <w:sz w:val="20"/>
          <w:szCs w:val="20"/>
        </w:rPr>
        <w:t>The Pearson correlation results show a significant positive relationship between phonological awareness and academic achievement in all three subjects. The strongest relationship was observed between phonological awareness and English (r = 0.82), indicating that students with better phonological skills tend to perform better in English.</w:t>
      </w:r>
      <w:bookmarkStart w:id="1" w:name="_Toc214961503"/>
      <w:r w:rsidR="00A35F82">
        <w:rPr>
          <w:rFonts w:ascii="Times New Roman" w:eastAsia="Times New Roman" w:hAnsi="Times New Roman" w:cs="Times New Roman"/>
          <w:sz w:val="20"/>
          <w:szCs w:val="20"/>
        </w:rPr>
        <w:t xml:space="preserve"> </w:t>
      </w:r>
      <w:bookmarkEnd w:id="1"/>
      <w:r w:rsidRPr="009F3E3E">
        <w:rPr>
          <w:rFonts w:ascii="New times Roman" w:eastAsia="Times New Roman" w:hAnsi="New times Roman"/>
          <w:sz w:val="20"/>
          <w:szCs w:val="20"/>
        </w:rPr>
        <w:t xml:space="preserve">All relationships are </w:t>
      </w:r>
      <w:r w:rsidRPr="00A35F82">
        <w:rPr>
          <w:rStyle w:val="Strong"/>
          <w:rFonts w:ascii="New times Roman" w:eastAsia="Times New Roman" w:hAnsi="New times Roman"/>
          <w:b w:val="0"/>
          <w:bCs w:val="0"/>
          <w:sz w:val="20"/>
          <w:szCs w:val="20"/>
        </w:rPr>
        <w:t>positive and significant (p &lt; .01)</w:t>
      </w:r>
      <w:r w:rsidRPr="009F3E3E">
        <w:rPr>
          <w:rFonts w:ascii="New times Roman" w:eastAsia="Times New Roman" w:hAnsi="New times Roman"/>
          <w:sz w:val="20"/>
          <w:szCs w:val="20"/>
        </w:rPr>
        <w:t>, indicating that students with stronger phonological skills tend to perform better academically.</w:t>
      </w:r>
      <w:r w:rsidR="00A35F82">
        <w:rPr>
          <w:rFonts w:ascii="New times Roman" w:eastAsia="Times New Roman" w:hAnsi="New times Roman"/>
          <w:sz w:val="20"/>
          <w:szCs w:val="20"/>
        </w:rPr>
        <w:t xml:space="preserve"> </w:t>
      </w:r>
      <w:r w:rsidRPr="009F3E3E">
        <w:rPr>
          <w:rFonts w:ascii="New times Roman" w:eastAsia="Times New Roman" w:hAnsi="New times Roman"/>
          <w:sz w:val="20"/>
          <w:szCs w:val="20"/>
        </w:rPr>
        <w:t>The</w:t>
      </w:r>
      <w:r w:rsidRPr="00A35F82">
        <w:rPr>
          <w:rFonts w:ascii="New times Roman" w:eastAsia="Times New Roman" w:hAnsi="New times Roman"/>
          <w:sz w:val="20"/>
          <w:szCs w:val="20"/>
        </w:rPr>
        <w:t xml:space="preserve"> </w:t>
      </w:r>
      <w:r w:rsidRPr="00A35F82">
        <w:rPr>
          <w:rStyle w:val="Strong"/>
          <w:rFonts w:ascii="New times Roman" w:eastAsia="Times New Roman" w:hAnsi="New times Roman"/>
          <w:b w:val="0"/>
          <w:bCs w:val="0"/>
          <w:sz w:val="20"/>
          <w:szCs w:val="20"/>
        </w:rPr>
        <w:t>strongest correlation</w:t>
      </w:r>
      <w:r w:rsidRPr="009F3E3E">
        <w:rPr>
          <w:rFonts w:ascii="New times Roman" w:eastAsia="Times New Roman" w:hAnsi="New times Roman"/>
          <w:sz w:val="20"/>
          <w:szCs w:val="20"/>
        </w:rPr>
        <w:t xml:space="preserve"> is with </w:t>
      </w:r>
      <w:r w:rsidRPr="00A35F82">
        <w:rPr>
          <w:rStyle w:val="Strong"/>
          <w:rFonts w:ascii="New times Roman" w:eastAsia="Times New Roman" w:hAnsi="New times Roman"/>
          <w:b w:val="0"/>
          <w:bCs w:val="0"/>
          <w:sz w:val="20"/>
          <w:szCs w:val="20"/>
        </w:rPr>
        <w:t>English (r = 0.82)</w:t>
      </w:r>
      <w:r w:rsidRPr="009F3E3E">
        <w:rPr>
          <w:rFonts w:ascii="New times Roman" w:eastAsia="Times New Roman" w:hAnsi="New times Roman"/>
          <w:sz w:val="20"/>
          <w:szCs w:val="20"/>
        </w:rPr>
        <w:t>, reflecting the direct linguistic link between sound awareness and reading comprehension, spelling, and vocabulary acquisition.</w:t>
      </w:r>
      <w:r w:rsidR="00A35F82">
        <w:rPr>
          <w:rFonts w:ascii="New times Roman" w:eastAsia="Times New Roman" w:hAnsi="New times Roman"/>
          <w:sz w:val="20"/>
          <w:szCs w:val="20"/>
        </w:rPr>
        <w:t xml:space="preserve"> </w:t>
      </w:r>
      <w:r w:rsidRPr="009F3E3E">
        <w:rPr>
          <w:rFonts w:ascii="New times Roman" w:eastAsia="Times New Roman" w:hAnsi="New times Roman"/>
          <w:sz w:val="20"/>
          <w:szCs w:val="20"/>
        </w:rPr>
        <w:t>Social Studies has a high positive correlation with phonological awareness at (r=0.75), reflecting the fact that phonological awareness and Social Studies are strongly related.</w:t>
      </w:r>
      <w:r w:rsidR="00A35F82">
        <w:rPr>
          <w:rFonts w:ascii="New times Roman" w:eastAsia="Times New Roman" w:hAnsi="New times Roman"/>
          <w:sz w:val="20"/>
          <w:szCs w:val="20"/>
        </w:rPr>
        <w:t xml:space="preserve"> </w:t>
      </w:r>
      <w:r w:rsidRPr="009F3E3E">
        <w:rPr>
          <w:rFonts w:ascii="New times Roman" w:eastAsia="Times New Roman" w:hAnsi="New times Roman"/>
          <w:sz w:val="20"/>
          <w:szCs w:val="20"/>
        </w:rPr>
        <w:t xml:space="preserve">Moderate correlation with </w:t>
      </w:r>
      <w:r w:rsidRPr="00A35F82">
        <w:rPr>
          <w:rStyle w:val="Strong"/>
          <w:rFonts w:ascii="New times Roman" w:eastAsia="Times New Roman" w:hAnsi="New times Roman"/>
          <w:b w:val="0"/>
          <w:bCs w:val="0"/>
          <w:sz w:val="20"/>
          <w:szCs w:val="20"/>
        </w:rPr>
        <w:t>Basic Science (r = 0.68)</w:t>
      </w:r>
      <w:r w:rsidRPr="009F3E3E">
        <w:rPr>
          <w:rFonts w:ascii="New times Roman" w:eastAsia="Times New Roman" w:hAnsi="New times Roman"/>
          <w:sz w:val="20"/>
          <w:szCs w:val="20"/>
        </w:rPr>
        <w:t xml:space="preserve"> shows that phonological awareness extends beyond literacy to affect broader academic learning, likely because comprehension, terminology decoding, and verbal reasoning depend on phonological proficiency.</w:t>
      </w:r>
    </w:p>
    <w:p w14:paraId="1ADCD1D4" w14:textId="77777777" w:rsidR="007C72FA" w:rsidRPr="009F3E3E" w:rsidRDefault="007C72FA" w:rsidP="00A35F82">
      <w:pPr>
        <w:spacing w:after="0"/>
        <w:ind w:left="0" w:hanging="2"/>
        <w:rPr>
          <w:rFonts w:ascii="Times New Roman" w:eastAsia="Times New Roman" w:hAnsi="Times New Roman" w:cs="Times New Roman"/>
          <w:sz w:val="20"/>
          <w:szCs w:val="20"/>
        </w:rPr>
      </w:pPr>
      <w:r w:rsidRPr="009F3E3E">
        <w:rPr>
          <w:rFonts w:ascii="Times New Roman" w:eastAsia="Times New Roman" w:hAnsi="Times New Roman" w:cs="Times New Roman"/>
          <w:b/>
          <w:sz w:val="20"/>
          <w:szCs w:val="20"/>
        </w:rPr>
        <w:t xml:space="preserve">Research Question 3: </w:t>
      </w:r>
      <w:r w:rsidRPr="009F3E3E">
        <w:rPr>
          <w:rFonts w:ascii="Times New Roman" w:eastAsia="Times New Roman" w:hAnsi="Times New Roman" w:cs="Times New Roman"/>
          <w:sz w:val="20"/>
          <w:szCs w:val="20"/>
        </w:rPr>
        <w:t>How well does phonological awareness predict overall performance of Basic 8 students in English, Social Studies, and Basic Science?</w:t>
      </w:r>
    </w:p>
    <w:p w14:paraId="2159DDB9" w14:textId="5D980DF7" w:rsidR="007C72FA" w:rsidRPr="009F3E3E" w:rsidRDefault="007C72FA" w:rsidP="00A35F82">
      <w:pPr>
        <w:spacing w:after="0"/>
        <w:ind w:left="0" w:hanging="2"/>
        <w:rPr>
          <w:rFonts w:ascii="Times New Roman" w:eastAsia="Times New Roman" w:hAnsi="Times New Roman" w:cs="Times New Roman"/>
          <w:b/>
          <w:sz w:val="20"/>
          <w:szCs w:val="20"/>
        </w:rPr>
      </w:pPr>
      <w:r w:rsidRPr="009F3E3E">
        <w:rPr>
          <w:rFonts w:ascii="Times New Roman" w:eastAsia="Times New Roman" w:hAnsi="Times New Roman" w:cs="Times New Roman"/>
          <w:b/>
          <w:sz w:val="20"/>
          <w:szCs w:val="20"/>
        </w:rPr>
        <w:t>Table 3 Regression Analysis</w:t>
      </w:r>
    </w:p>
    <w:tbl>
      <w:tblPr>
        <w:tblW w:w="0" w:type="auto"/>
        <w:tblInd w:w="108"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1483"/>
        <w:gridCol w:w="1440"/>
        <w:gridCol w:w="1440"/>
        <w:gridCol w:w="1440"/>
        <w:gridCol w:w="1440"/>
        <w:gridCol w:w="1440"/>
      </w:tblGrid>
      <w:tr w:rsidR="007C72FA" w:rsidRPr="009F3E3E" w14:paraId="18439628" w14:textId="77777777" w:rsidTr="009F3E3E">
        <w:trPr>
          <w:trHeight w:val="1"/>
        </w:trPr>
        <w:tc>
          <w:tcPr>
            <w:tcW w:w="1483" w:type="dxa"/>
            <w:tcBorders>
              <w:top w:val="single" w:sz="4" w:space="0" w:color="auto"/>
              <w:bottom w:val="single" w:sz="4" w:space="0" w:color="auto"/>
            </w:tcBorders>
            <w:shd w:val="clear" w:color="000000" w:fill="FFFFFF"/>
            <w:tcMar>
              <w:left w:w="108" w:type="dxa"/>
              <w:right w:w="108" w:type="dxa"/>
            </w:tcMar>
          </w:tcPr>
          <w:p w14:paraId="0F9BC51F"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Model Predictor</w:t>
            </w:r>
          </w:p>
        </w:tc>
        <w:tc>
          <w:tcPr>
            <w:tcW w:w="1440" w:type="dxa"/>
            <w:tcBorders>
              <w:top w:val="single" w:sz="4" w:space="0" w:color="auto"/>
              <w:bottom w:val="single" w:sz="4" w:space="0" w:color="auto"/>
            </w:tcBorders>
            <w:shd w:val="clear" w:color="000000" w:fill="FFFFFF"/>
            <w:tcMar>
              <w:left w:w="108" w:type="dxa"/>
              <w:right w:w="108" w:type="dxa"/>
            </w:tcMar>
          </w:tcPr>
          <w:p w14:paraId="65E5F19A"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B</w:t>
            </w:r>
          </w:p>
        </w:tc>
        <w:tc>
          <w:tcPr>
            <w:tcW w:w="1440" w:type="dxa"/>
            <w:tcBorders>
              <w:top w:val="single" w:sz="4" w:space="0" w:color="auto"/>
              <w:bottom w:val="single" w:sz="4" w:space="0" w:color="auto"/>
            </w:tcBorders>
            <w:shd w:val="clear" w:color="000000" w:fill="FFFFFF"/>
            <w:tcMar>
              <w:left w:w="108" w:type="dxa"/>
              <w:right w:w="108" w:type="dxa"/>
            </w:tcMar>
          </w:tcPr>
          <w:p w14:paraId="41729BC1"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SE</w:t>
            </w:r>
          </w:p>
        </w:tc>
        <w:tc>
          <w:tcPr>
            <w:tcW w:w="1440" w:type="dxa"/>
            <w:tcBorders>
              <w:top w:val="single" w:sz="4" w:space="0" w:color="auto"/>
              <w:bottom w:val="single" w:sz="4" w:space="0" w:color="auto"/>
            </w:tcBorders>
            <w:shd w:val="clear" w:color="000000" w:fill="FFFFFF"/>
            <w:tcMar>
              <w:left w:w="108" w:type="dxa"/>
              <w:right w:w="108" w:type="dxa"/>
            </w:tcMar>
          </w:tcPr>
          <w:p w14:paraId="64CE09C9"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Beta</w:t>
            </w:r>
          </w:p>
        </w:tc>
        <w:tc>
          <w:tcPr>
            <w:tcW w:w="1440" w:type="dxa"/>
            <w:tcBorders>
              <w:top w:val="single" w:sz="4" w:space="0" w:color="auto"/>
              <w:bottom w:val="single" w:sz="4" w:space="0" w:color="auto"/>
            </w:tcBorders>
            <w:shd w:val="clear" w:color="000000" w:fill="FFFFFF"/>
            <w:tcMar>
              <w:left w:w="108" w:type="dxa"/>
              <w:right w:w="108" w:type="dxa"/>
            </w:tcMar>
          </w:tcPr>
          <w:p w14:paraId="4F5A5995"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T</w:t>
            </w:r>
          </w:p>
        </w:tc>
        <w:tc>
          <w:tcPr>
            <w:tcW w:w="1440" w:type="dxa"/>
            <w:tcBorders>
              <w:top w:val="single" w:sz="4" w:space="0" w:color="auto"/>
              <w:bottom w:val="single" w:sz="4" w:space="0" w:color="auto"/>
            </w:tcBorders>
            <w:shd w:val="clear" w:color="000000" w:fill="FFFFFF"/>
            <w:tcMar>
              <w:left w:w="108" w:type="dxa"/>
              <w:right w:w="108" w:type="dxa"/>
            </w:tcMar>
          </w:tcPr>
          <w:p w14:paraId="582B82BE"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p-value</w:t>
            </w:r>
          </w:p>
        </w:tc>
      </w:tr>
      <w:tr w:rsidR="007C72FA" w:rsidRPr="009F3E3E" w14:paraId="65AB885E" w14:textId="77777777" w:rsidTr="009F3E3E">
        <w:trPr>
          <w:trHeight w:val="1"/>
        </w:trPr>
        <w:tc>
          <w:tcPr>
            <w:tcW w:w="1483" w:type="dxa"/>
            <w:tcBorders>
              <w:top w:val="single" w:sz="4" w:space="0" w:color="auto"/>
            </w:tcBorders>
            <w:shd w:val="clear" w:color="000000" w:fill="FFFFFF"/>
            <w:tcMar>
              <w:left w:w="108" w:type="dxa"/>
              <w:right w:w="108" w:type="dxa"/>
            </w:tcMar>
          </w:tcPr>
          <w:p w14:paraId="73E43BEB"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Constant</w:t>
            </w:r>
          </w:p>
        </w:tc>
        <w:tc>
          <w:tcPr>
            <w:tcW w:w="1440" w:type="dxa"/>
            <w:tcBorders>
              <w:top w:val="single" w:sz="4" w:space="0" w:color="auto"/>
            </w:tcBorders>
            <w:shd w:val="clear" w:color="000000" w:fill="FFFFFF"/>
            <w:tcMar>
              <w:left w:w="108" w:type="dxa"/>
              <w:right w:w="108" w:type="dxa"/>
            </w:tcMar>
          </w:tcPr>
          <w:p w14:paraId="15DB99D7"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22.45</w:t>
            </w:r>
          </w:p>
        </w:tc>
        <w:tc>
          <w:tcPr>
            <w:tcW w:w="1440" w:type="dxa"/>
            <w:tcBorders>
              <w:top w:val="single" w:sz="4" w:space="0" w:color="auto"/>
            </w:tcBorders>
            <w:shd w:val="clear" w:color="000000" w:fill="FFFFFF"/>
            <w:tcMar>
              <w:left w:w="108" w:type="dxa"/>
              <w:right w:w="108" w:type="dxa"/>
            </w:tcMar>
          </w:tcPr>
          <w:p w14:paraId="24A97D23"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3.12</w:t>
            </w:r>
          </w:p>
        </w:tc>
        <w:tc>
          <w:tcPr>
            <w:tcW w:w="1440" w:type="dxa"/>
            <w:tcBorders>
              <w:top w:val="single" w:sz="4" w:space="0" w:color="auto"/>
            </w:tcBorders>
            <w:shd w:val="clear" w:color="000000" w:fill="FFFFFF"/>
            <w:tcMar>
              <w:left w:w="108" w:type="dxa"/>
              <w:right w:w="108" w:type="dxa"/>
            </w:tcMar>
          </w:tcPr>
          <w:p w14:paraId="15326BC1"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w:t>
            </w:r>
          </w:p>
        </w:tc>
        <w:tc>
          <w:tcPr>
            <w:tcW w:w="1440" w:type="dxa"/>
            <w:tcBorders>
              <w:top w:val="single" w:sz="4" w:space="0" w:color="auto"/>
            </w:tcBorders>
            <w:shd w:val="clear" w:color="000000" w:fill="FFFFFF"/>
            <w:tcMar>
              <w:left w:w="108" w:type="dxa"/>
              <w:right w:w="108" w:type="dxa"/>
            </w:tcMar>
          </w:tcPr>
          <w:p w14:paraId="4A5C7BE4"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7.20</w:t>
            </w:r>
          </w:p>
        </w:tc>
        <w:tc>
          <w:tcPr>
            <w:tcW w:w="1440" w:type="dxa"/>
            <w:tcBorders>
              <w:top w:val="single" w:sz="4" w:space="0" w:color="auto"/>
            </w:tcBorders>
            <w:shd w:val="clear" w:color="000000" w:fill="FFFFFF"/>
            <w:tcMar>
              <w:left w:w="108" w:type="dxa"/>
              <w:right w:w="108" w:type="dxa"/>
            </w:tcMar>
          </w:tcPr>
          <w:p w14:paraId="5909BD2F"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0.000001</w:t>
            </w:r>
          </w:p>
        </w:tc>
      </w:tr>
      <w:tr w:rsidR="007C72FA" w:rsidRPr="009F3E3E" w14:paraId="56E1FA50" w14:textId="77777777" w:rsidTr="009F3E3E">
        <w:trPr>
          <w:trHeight w:val="1"/>
        </w:trPr>
        <w:tc>
          <w:tcPr>
            <w:tcW w:w="1483" w:type="dxa"/>
            <w:shd w:val="clear" w:color="000000" w:fill="FFFFFF"/>
            <w:tcMar>
              <w:left w:w="108" w:type="dxa"/>
              <w:right w:w="108" w:type="dxa"/>
            </w:tcMar>
          </w:tcPr>
          <w:p w14:paraId="009B6541"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Phonological Awareness Score</w:t>
            </w:r>
          </w:p>
        </w:tc>
        <w:tc>
          <w:tcPr>
            <w:tcW w:w="1440" w:type="dxa"/>
            <w:shd w:val="clear" w:color="000000" w:fill="FFFFFF"/>
            <w:tcMar>
              <w:left w:w="108" w:type="dxa"/>
              <w:right w:w="108" w:type="dxa"/>
            </w:tcMar>
          </w:tcPr>
          <w:p w14:paraId="64881FB0"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3.15</w:t>
            </w:r>
          </w:p>
        </w:tc>
        <w:tc>
          <w:tcPr>
            <w:tcW w:w="1440" w:type="dxa"/>
            <w:shd w:val="clear" w:color="000000" w:fill="FFFFFF"/>
            <w:tcMar>
              <w:left w:w="108" w:type="dxa"/>
              <w:right w:w="108" w:type="dxa"/>
            </w:tcMar>
          </w:tcPr>
          <w:p w14:paraId="5534A22A"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0.42</w:t>
            </w:r>
          </w:p>
        </w:tc>
        <w:tc>
          <w:tcPr>
            <w:tcW w:w="1440" w:type="dxa"/>
            <w:shd w:val="clear" w:color="000000" w:fill="FFFFFF"/>
            <w:tcMar>
              <w:left w:w="108" w:type="dxa"/>
              <w:right w:w="108" w:type="dxa"/>
            </w:tcMar>
          </w:tcPr>
          <w:p w14:paraId="5F3E1AE5"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0.61</w:t>
            </w:r>
          </w:p>
        </w:tc>
        <w:tc>
          <w:tcPr>
            <w:tcW w:w="1440" w:type="dxa"/>
            <w:shd w:val="clear" w:color="000000" w:fill="FFFFFF"/>
            <w:tcMar>
              <w:left w:w="108" w:type="dxa"/>
              <w:right w:w="108" w:type="dxa"/>
            </w:tcMar>
          </w:tcPr>
          <w:p w14:paraId="6C9AA3C6"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7.50</w:t>
            </w:r>
          </w:p>
        </w:tc>
        <w:tc>
          <w:tcPr>
            <w:tcW w:w="1440" w:type="dxa"/>
            <w:shd w:val="clear" w:color="000000" w:fill="FFFFFF"/>
            <w:tcMar>
              <w:left w:w="108" w:type="dxa"/>
              <w:right w:w="108" w:type="dxa"/>
            </w:tcMar>
          </w:tcPr>
          <w:p w14:paraId="0389C1F1"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0.000001</w:t>
            </w:r>
          </w:p>
        </w:tc>
      </w:tr>
    </w:tbl>
    <w:p w14:paraId="50371042" w14:textId="35984B3E" w:rsidR="007C72FA" w:rsidRPr="009F3E3E" w:rsidRDefault="007C72FA" w:rsidP="00A35F82">
      <w:pPr>
        <w:spacing w:after="0"/>
        <w:ind w:left="0" w:hanging="2"/>
        <w:jc w:val="both"/>
        <w:rPr>
          <w:rFonts w:ascii="New times Roman" w:eastAsia="Times New Roman" w:hAnsi="New times Roman"/>
          <w:sz w:val="20"/>
          <w:szCs w:val="20"/>
        </w:rPr>
      </w:pPr>
      <w:r w:rsidRPr="009F3E3E">
        <w:rPr>
          <w:rFonts w:ascii="Times New Roman" w:eastAsia="Times New Roman" w:hAnsi="Times New Roman" w:cs="Times New Roman"/>
          <w:sz w:val="20"/>
          <w:szCs w:val="20"/>
        </w:rPr>
        <w:t>Phonological awareness is a significant predictor of overall academic achievement. Specifically, a unit increase in phonological awareness is associated with a 3.15-point increase in composite academic scores.</w:t>
      </w:r>
      <w:bookmarkStart w:id="2" w:name="_Toc214961504"/>
      <w:r w:rsidR="00A35F82">
        <w:rPr>
          <w:rFonts w:ascii="Times New Roman" w:eastAsia="Times New Roman" w:hAnsi="Times New Roman" w:cs="Times New Roman"/>
          <w:sz w:val="20"/>
          <w:szCs w:val="20"/>
        </w:rPr>
        <w:t xml:space="preserve"> </w:t>
      </w:r>
      <w:bookmarkEnd w:id="2"/>
      <w:r w:rsidRPr="009F3E3E">
        <w:rPr>
          <w:rFonts w:ascii="New times Roman" w:eastAsia="Times New Roman" w:hAnsi="New times Roman"/>
          <w:sz w:val="20"/>
          <w:szCs w:val="20"/>
        </w:rPr>
        <w:t xml:space="preserve">The </w:t>
      </w:r>
      <w:r w:rsidRPr="00A35F82">
        <w:rPr>
          <w:rStyle w:val="Strong"/>
          <w:rFonts w:ascii="New times Roman" w:eastAsia="Times New Roman" w:hAnsi="New times Roman"/>
          <w:b w:val="0"/>
          <w:bCs w:val="0"/>
          <w:sz w:val="20"/>
          <w:szCs w:val="20"/>
        </w:rPr>
        <w:t xml:space="preserve">positive unstandardized </w:t>
      </w:r>
      <w:r w:rsidRPr="00A35F82">
        <w:rPr>
          <w:rStyle w:val="Strong"/>
          <w:rFonts w:ascii="New times Roman" w:eastAsia="Times New Roman" w:hAnsi="New times Roman"/>
          <w:b w:val="0"/>
          <w:bCs w:val="0"/>
          <w:sz w:val="20"/>
          <w:szCs w:val="20"/>
        </w:rPr>
        <w:lastRenderedPageBreak/>
        <w:t>coefficient (B = 3.15)</w:t>
      </w:r>
      <w:r w:rsidRPr="009F3E3E">
        <w:rPr>
          <w:rFonts w:ascii="New times Roman" w:eastAsia="Times New Roman" w:hAnsi="New times Roman"/>
          <w:sz w:val="20"/>
          <w:szCs w:val="20"/>
        </w:rPr>
        <w:t xml:space="preserve"> indicates that for each one-unit increase in total phonological awareness score, a student’s overall academic performance rises by about </w:t>
      </w:r>
      <w:r w:rsidRPr="00A35F82">
        <w:rPr>
          <w:rStyle w:val="Strong"/>
          <w:rFonts w:ascii="New times Roman" w:eastAsia="Times New Roman" w:hAnsi="New times Roman"/>
          <w:b w:val="0"/>
          <w:bCs w:val="0"/>
          <w:sz w:val="20"/>
          <w:szCs w:val="20"/>
        </w:rPr>
        <w:t>3.15 points</w:t>
      </w:r>
      <w:r w:rsidR="00A35F82" w:rsidRPr="00A35F82">
        <w:rPr>
          <w:rFonts w:ascii="New times Roman" w:eastAsia="Times New Roman" w:hAnsi="New times Roman"/>
          <w:sz w:val="20"/>
          <w:szCs w:val="20"/>
        </w:rPr>
        <w:t>.</w:t>
      </w:r>
      <w:r w:rsidR="00A35F82">
        <w:rPr>
          <w:rFonts w:ascii="New times Roman" w:eastAsia="Times New Roman" w:hAnsi="New times Roman"/>
          <w:sz w:val="20"/>
          <w:szCs w:val="20"/>
        </w:rPr>
        <w:t xml:space="preserve"> </w:t>
      </w:r>
      <w:r w:rsidRPr="009F3E3E">
        <w:rPr>
          <w:rFonts w:ascii="New times Roman" w:eastAsia="Times New Roman" w:hAnsi="New times Roman"/>
          <w:sz w:val="20"/>
          <w:szCs w:val="20"/>
        </w:rPr>
        <w:t xml:space="preserve">The </w:t>
      </w:r>
      <w:r w:rsidRPr="00A35F82">
        <w:rPr>
          <w:rStyle w:val="Strong"/>
          <w:rFonts w:ascii="New times Roman" w:eastAsia="Times New Roman" w:hAnsi="New times Roman"/>
          <w:b w:val="0"/>
          <w:bCs w:val="0"/>
          <w:sz w:val="20"/>
          <w:szCs w:val="20"/>
        </w:rPr>
        <w:t>standardized Beta (β = 0.61)</w:t>
      </w:r>
      <w:r w:rsidRPr="009F3E3E">
        <w:rPr>
          <w:rFonts w:ascii="New times Roman" w:eastAsia="Times New Roman" w:hAnsi="New times Roman"/>
          <w:sz w:val="20"/>
          <w:szCs w:val="20"/>
        </w:rPr>
        <w:t xml:space="preserve"> shows a</w:t>
      </w:r>
      <w:r w:rsidRPr="009F3E3E">
        <w:rPr>
          <w:rFonts w:ascii="New times Roman" w:eastAsia="Times New Roman" w:hAnsi="New times Roman"/>
          <w:i/>
          <w:sz w:val="20"/>
          <w:szCs w:val="20"/>
        </w:rPr>
        <w:t xml:space="preserve"> </w:t>
      </w:r>
      <w:r w:rsidRPr="009F3E3E">
        <w:rPr>
          <w:rStyle w:val="Emphasis"/>
          <w:rFonts w:ascii="New times Roman" w:hAnsi="New times Roman"/>
          <w:sz w:val="20"/>
          <w:szCs w:val="20"/>
        </w:rPr>
        <w:t>strong predictive effect</w:t>
      </w:r>
      <w:r w:rsidRPr="009F3E3E">
        <w:rPr>
          <w:rFonts w:ascii="New times Roman" w:eastAsia="Times New Roman" w:hAnsi="New times Roman"/>
          <w:i/>
          <w:sz w:val="20"/>
          <w:szCs w:val="20"/>
        </w:rPr>
        <w:t>,</w:t>
      </w:r>
      <w:r w:rsidRPr="009F3E3E">
        <w:rPr>
          <w:rFonts w:ascii="New times Roman" w:eastAsia="Times New Roman" w:hAnsi="New times Roman"/>
          <w:sz w:val="20"/>
          <w:szCs w:val="20"/>
        </w:rPr>
        <w:t xml:space="preserve"> explaining a substantial portion of variance in academic achievement.</w:t>
      </w:r>
      <w:r w:rsidR="00A35F82">
        <w:rPr>
          <w:rFonts w:ascii="New times Roman" w:eastAsia="Times New Roman" w:hAnsi="New times Roman"/>
          <w:sz w:val="20"/>
          <w:szCs w:val="20"/>
        </w:rPr>
        <w:t xml:space="preserve"> </w:t>
      </w:r>
      <w:r w:rsidRPr="009F3E3E">
        <w:rPr>
          <w:rFonts w:ascii="New times Roman" w:eastAsia="Times New Roman" w:hAnsi="New times Roman"/>
          <w:sz w:val="20"/>
          <w:szCs w:val="20"/>
        </w:rPr>
        <w:t xml:space="preserve">With </w:t>
      </w:r>
      <w:r w:rsidRPr="00A35F82">
        <w:rPr>
          <w:rStyle w:val="Strong"/>
          <w:rFonts w:ascii="New times Roman" w:eastAsia="Times New Roman" w:hAnsi="New times Roman"/>
          <w:b w:val="0"/>
          <w:bCs w:val="0"/>
          <w:sz w:val="20"/>
          <w:szCs w:val="20"/>
        </w:rPr>
        <w:t>t = 7.50 and p &lt; .001</w:t>
      </w:r>
      <w:r w:rsidRPr="009F3E3E">
        <w:rPr>
          <w:rFonts w:ascii="New times Roman" w:eastAsia="Times New Roman" w:hAnsi="New times Roman"/>
          <w:sz w:val="20"/>
          <w:szCs w:val="20"/>
        </w:rPr>
        <w:t xml:space="preserve">, the result is statistically significant, confirming that phonological awareness is a </w:t>
      </w:r>
      <w:r w:rsidRPr="00A35F82">
        <w:rPr>
          <w:rStyle w:val="Strong"/>
          <w:rFonts w:ascii="New times Roman" w:eastAsia="Times New Roman" w:hAnsi="New times Roman"/>
          <w:b w:val="0"/>
          <w:bCs w:val="0"/>
          <w:sz w:val="20"/>
          <w:szCs w:val="20"/>
        </w:rPr>
        <w:t>robust predictor</w:t>
      </w:r>
      <w:r w:rsidRPr="009F3E3E">
        <w:rPr>
          <w:rFonts w:ascii="New times Roman" w:eastAsia="Times New Roman" w:hAnsi="New times Roman"/>
          <w:sz w:val="20"/>
          <w:szCs w:val="20"/>
        </w:rPr>
        <w:t xml:space="preserve"> of learning outcomes across subjects.</w:t>
      </w:r>
      <w:r w:rsidR="00A35F82">
        <w:rPr>
          <w:rFonts w:ascii="New times Roman" w:eastAsia="Times New Roman" w:hAnsi="New times Roman"/>
          <w:sz w:val="20"/>
          <w:szCs w:val="20"/>
        </w:rPr>
        <w:t xml:space="preserve"> </w:t>
      </w:r>
      <w:r w:rsidRPr="009F3E3E">
        <w:rPr>
          <w:rFonts w:ascii="New times Roman" w:eastAsia="Times New Roman" w:hAnsi="New times Roman"/>
          <w:sz w:val="20"/>
          <w:szCs w:val="20"/>
        </w:rPr>
        <w:t>This underscores the importance of integrating phonological training into early education to boost general academic performance.</w:t>
      </w:r>
    </w:p>
    <w:p w14:paraId="6B77A45E" w14:textId="77777777" w:rsidR="007C72FA" w:rsidRPr="009F3E3E" w:rsidRDefault="007C72FA" w:rsidP="009F3E3E">
      <w:pPr>
        <w:tabs>
          <w:tab w:val="left" w:pos="720"/>
        </w:tabs>
        <w:spacing w:before="100" w:after="100"/>
        <w:ind w:left="0" w:hanging="2"/>
        <w:rPr>
          <w:rFonts w:ascii="Times New Roman" w:eastAsia="Times New Roman" w:hAnsi="Times New Roman" w:cs="Times New Roman"/>
          <w:sz w:val="20"/>
          <w:szCs w:val="20"/>
        </w:rPr>
      </w:pPr>
      <w:r w:rsidRPr="009F3E3E">
        <w:rPr>
          <w:rFonts w:ascii="Times New Roman" w:eastAsia="Times New Roman" w:hAnsi="Times New Roman" w:cs="Times New Roman"/>
          <w:b/>
          <w:sz w:val="20"/>
          <w:szCs w:val="20"/>
        </w:rPr>
        <w:t xml:space="preserve">Research Question 4: </w:t>
      </w:r>
      <w:r w:rsidRPr="009F3E3E">
        <w:rPr>
          <w:rFonts w:ascii="Times New Roman" w:eastAsia="Times New Roman" w:hAnsi="Times New Roman" w:cs="Times New Roman"/>
          <w:sz w:val="20"/>
          <w:szCs w:val="20"/>
        </w:rPr>
        <w:t>In what ways does phonological awareness influence how differently Basic 8 students perform in English, Social Studies, and Basic Science?</w:t>
      </w:r>
    </w:p>
    <w:p w14:paraId="071FB424" w14:textId="03FFA024" w:rsidR="007C72FA" w:rsidRPr="009F3E3E" w:rsidRDefault="007C72FA" w:rsidP="00A35F82">
      <w:pPr>
        <w:tabs>
          <w:tab w:val="left" w:pos="720"/>
        </w:tabs>
        <w:spacing w:after="0"/>
        <w:ind w:left="0" w:hanging="2"/>
        <w:rPr>
          <w:rFonts w:ascii="Times New Roman" w:eastAsia="Times New Roman" w:hAnsi="Times New Roman" w:cs="Times New Roman"/>
          <w:b/>
          <w:sz w:val="20"/>
          <w:szCs w:val="20"/>
        </w:rPr>
      </w:pPr>
      <w:r w:rsidRPr="009F3E3E">
        <w:rPr>
          <w:rFonts w:ascii="Times New Roman" w:eastAsia="Times New Roman" w:hAnsi="Times New Roman" w:cs="Times New Roman"/>
          <w:b/>
          <w:sz w:val="20"/>
          <w:szCs w:val="20"/>
        </w:rPr>
        <w:t>Table 4 Differential Analysis</w:t>
      </w:r>
    </w:p>
    <w:tbl>
      <w:tblPr>
        <w:tblW w:w="0" w:type="auto"/>
        <w:tblInd w:w="108"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1728"/>
        <w:gridCol w:w="1728"/>
        <w:gridCol w:w="1728"/>
        <w:gridCol w:w="1728"/>
        <w:gridCol w:w="1728"/>
      </w:tblGrid>
      <w:tr w:rsidR="007C72FA" w:rsidRPr="009F3E3E" w14:paraId="20DB3E2B" w14:textId="77777777" w:rsidTr="009F3E3E">
        <w:trPr>
          <w:trHeight w:val="1"/>
        </w:trPr>
        <w:tc>
          <w:tcPr>
            <w:tcW w:w="1728" w:type="dxa"/>
            <w:tcBorders>
              <w:top w:val="single" w:sz="4" w:space="0" w:color="auto"/>
              <w:bottom w:val="single" w:sz="4" w:space="0" w:color="auto"/>
            </w:tcBorders>
            <w:shd w:val="clear" w:color="000000" w:fill="FFFFFF"/>
            <w:tcMar>
              <w:left w:w="108" w:type="dxa"/>
              <w:right w:w="108" w:type="dxa"/>
            </w:tcMar>
          </w:tcPr>
          <w:p w14:paraId="664E7595"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Subject</w:t>
            </w:r>
          </w:p>
        </w:tc>
        <w:tc>
          <w:tcPr>
            <w:tcW w:w="1728" w:type="dxa"/>
            <w:tcBorders>
              <w:top w:val="single" w:sz="4" w:space="0" w:color="auto"/>
              <w:bottom w:val="single" w:sz="4" w:space="0" w:color="auto"/>
            </w:tcBorders>
            <w:shd w:val="clear" w:color="000000" w:fill="FFFFFF"/>
            <w:tcMar>
              <w:left w:w="108" w:type="dxa"/>
              <w:right w:w="108" w:type="dxa"/>
            </w:tcMar>
          </w:tcPr>
          <w:p w14:paraId="6B01D148"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R</w:t>
            </w:r>
          </w:p>
        </w:tc>
        <w:tc>
          <w:tcPr>
            <w:tcW w:w="1728" w:type="dxa"/>
            <w:tcBorders>
              <w:top w:val="single" w:sz="4" w:space="0" w:color="auto"/>
              <w:bottom w:val="single" w:sz="4" w:space="0" w:color="auto"/>
            </w:tcBorders>
            <w:shd w:val="clear" w:color="000000" w:fill="FFFFFF"/>
            <w:tcMar>
              <w:left w:w="108" w:type="dxa"/>
              <w:right w:w="108" w:type="dxa"/>
            </w:tcMar>
          </w:tcPr>
          <w:p w14:paraId="3FC6B689"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R²</w:t>
            </w:r>
          </w:p>
        </w:tc>
        <w:tc>
          <w:tcPr>
            <w:tcW w:w="1728" w:type="dxa"/>
            <w:tcBorders>
              <w:top w:val="single" w:sz="4" w:space="0" w:color="auto"/>
              <w:bottom w:val="single" w:sz="4" w:space="0" w:color="auto"/>
            </w:tcBorders>
            <w:shd w:val="clear" w:color="000000" w:fill="FFFFFF"/>
            <w:tcMar>
              <w:left w:w="108" w:type="dxa"/>
              <w:right w:w="108" w:type="dxa"/>
            </w:tcMar>
          </w:tcPr>
          <w:p w14:paraId="45557784"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t-value</w:t>
            </w:r>
          </w:p>
        </w:tc>
        <w:tc>
          <w:tcPr>
            <w:tcW w:w="1728" w:type="dxa"/>
            <w:tcBorders>
              <w:top w:val="single" w:sz="4" w:space="0" w:color="auto"/>
              <w:bottom w:val="single" w:sz="4" w:space="0" w:color="auto"/>
            </w:tcBorders>
            <w:shd w:val="clear" w:color="000000" w:fill="FFFFFF"/>
            <w:tcMar>
              <w:left w:w="108" w:type="dxa"/>
              <w:right w:w="108" w:type="dxa"/>
            </w:tcMar>
          </w:tcPr>
          <w:p w14:paraId="7AD6E34F" w14:textId="77777777" w:rsidR="007C72FA" w:rsidRPr="009F3E3E" w:rsidRDefault="007C72FA" w:rsidP="009F3E3E">
            <w:pPr>
              <w:spacing w:after="0" w:line="240" w:lineRule="auto"/>
              <w:ind w:left="0" w:hanging="2"/>
              <w:rPr>
                <w:b/>
                <w:sz w:val="20"/>
                <w:szCs w:val="20"/>
              </w:rPr>
            </w:pPr>
            <w:r w:rsidRPr="009F3E3E">
              <w:rPr>
                <w:rFonts w:ascii="Times New Roman" w:eastAsia="Times New Roman" w:hAnsi="Times New Roman" w:cs="Times New Roman"/>
                <w:b/>
                <w:sz w:val="20"/>
                <w:szCs w:val="20"/>
              </w:rPr>
              <w:t>p-value</w:t>
            </w:r>
          </w:p>
        </w:tc>
      </w:tr>
      <w:tr w:rsidR="007C72FA" w:rsidRPr="009F3E3E" w14:paraId="6EECF646" w14:textId="77777777" w:rsidTr="009F3E3E">
        <w:trPr>
          <w:trHeight w:val="1"/>
        </w:trPr>
        <w:tc>
          <w:tcPr>
            <w:tcW w:w="1728" w:type="dxa"/>
            <w:tcBorders>
              <w:top w:val="single" w:sz="4" w:space="0" w:color="auto"/>
            </w:tcBorders>
            <w:shd w:val="clear" w:color="000000" w:fill="FFFFFF"/>
            <w:tcMar>
              <w:left w:w="108" w:type="dxa"/>
              <w:right w:w="108" w:type="dxa"/>
            </w:tcMar>
          </w:tcPr>
          <w:p w14:paraId="15ECC3D3"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English</w:t>
            </w:r>
          </w:p>
        </w:tc>
        <w:tc>
          <w:tcPr>
            <w:tcW w:w="1728" w:type="dxa"/>
            <w:tcBorders>
              <w:top w:val="single" w:sz="4" w:space="0" w:color="auto"/>
            </w:tcBorders>
            <w:shd w:val="clear" w:color="000000" w:fill="FFFFFF"/>
            <w:tcMar>
              <w:left w:w="108" w:type="dxa"/>
              <w:right w:w="108" w:type="dxa"/>
            </w:tcMar>
          </w:tcPr>
          <w:p w14:paraId="37214514"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0.82</w:t>
            </w:r>
          </w:p>
        </w:tc>
        <w:tc>
          <w:tcPr>
            <w:tcW w:w="1728" w:type="dxa"/>
            <w:tcBorders>
              <w:top w:val="single" w:sz="4" w:space="0" w:color="auto"/>
            </w:tcBorders>
            <w:shd w:val="clear" w:color="000000" w:fill="FFFFFF"/>
            <w:tcMar>
              <w:left w:w="108" w:type="dxa"/>
              <w:right w:w="108" w:type="dxa"/>
            </w:tcMar>
          </w:tcPr>
          <w:p w14:paraId="1263D86D"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0.67</w:t>
            </w:r>
          </w:p>
        </w:tc>
        <w:tc>
          <w:tcPr>
            <w:tcW w:w="1728" w:type="dxa"/>
            <w:tcBorders>
              <w:top w:val="single" w:sz="4" w:space="0" w:color="auto"/>
            </w:tcBorders>
            <w:shd w:val="clear" w:color="000000" w:fill="FFFFFF"/>
            <w:tcMar>
              <w:left w:w="108" w:type="dxa"/>
              <w:right w:w="108" w:type="dxa"/>
            </w:tcMar>
          </w:tcPr>
          <w:p w14:paraId="1B727E01"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22.79</w:t>
            </w:r>
          </w:p>
        </w:tc>
        <w:tc>
          <w:tcPr>
            <w:tcW w:w="1728" w:type="dxa"/>
            <w:tcBorders>
              <w:top w:val="single" w:sz="4" w:space="0" w:color="auto"/>
            </w:tcBorders>
            <w:shd w:val="clear" w:color="000000" w:fill="FFFFFF"/>
            <w:tcMar>
              <w:left w:w="108" w:type="dxa"/>
              <w:right w:w="108" w:type="dxa"/>
            </w:tcMar>
          </w:tcPr>
          <w:p w14:paraId="1258ACE1"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0.000001</w:t>
            </w:r>
          </w:p>
        </w:tc>
      </w:tr>
      <w:tr w:rsidR="007C72FA" w:rsidRPr="009F3E3E" w14:paraId="76DDD6CF" w14:textId="77777777" w:rsidTr="009F3E3E">
        <w:trPr>
          <w:trHeight w:val="1"/>
        </w:trPr>
        <w:tc>
          <w:tcPr>
            <w:tcW w:w="1728" w:type="dxa"/>
            <w:shd w:val="clear" w:color="000000" w:fill="FFFFFF"/>
            <w:tcMar>
              <w:left w:w="108" w:type="dxa"/>
              <w:right w:w="108" w:type="dxa"/>
            </w:tcMar>
          </w:tcPr>
          <w:p w14:paraId="13B0C0A9"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Social Studies</w:t>
            </w:r>
          </w:p>
        </w:tc>
        <w:tc>
          <w:tcPr>
            <w:tcW w:w="1728" w:type="dxa"/>
            <w:shd w:val="clear" w:color="000000" w:fill="FFFFFF"/>
            <w:tcMar>
              <w:left w:w="108" w:type="dxa"/>
              <w:right w:w="108" w:type="dxa"/>
            </w:tcMar>
          </w:tcPr>
          <w:p w14:paraId="7EDBD627"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0.75</w:t>
            </w:r>
          </w:p>
        </w:tc>
        <w:tc>
          <w:tcPr>
            <w:tcW w:w="1728" w:type="dxa"/>
            <w:shd w:val="clear" w:color="000000" w:fill="FFFFFF"/>
            <w:tcMar>
              <w:left w:w="108" w:type="dxa"/>
              <w:right w:w="108" w:type="dxa"/>
            </w:tcMar>
          </w:tcPr>
          <w:p w14:paraId="52B3904D"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0.56</w:t>
            </w:r>
          </w:p>
        </w:tc>
        <w:tc>
          <w:tcPr>
            <w:tcW w:w="1728" w:type="dxa"/>
            <w:shd w:val="clear" w:color="000000" w:fill="FFFFFF"/>
            <w:tcMar>
              <w:left w:w="108" w:type="dxa"/>
              <w:right w:w="108" w:type="dxa"/>
            </w:tcMar>
          </w:tcPr>
          <w:p w14:paraId="4DB3B6CF"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18.03</w:t>
            </w:r>
          </w:p>
        </w:tc>
        <w:tc>
          <w:tcPr>
            <w:tcW w:w="1728" w:type="dxa"/>
            <w:shd w:val="clear" w:color="000000" w:fill="FFFFFF"/>
            <w:tcMar>
              <w:left w:w="108" w:type="dxa"/>
              <w:right w:w="108" w:type="dxa"/>
            </w:tcMar>
          </w:tcPr>
          <w:p w14:paraId="0278FF11"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0.000001</w:t>
            </w:r>
          </w:p>
        </w:tc>
      </w:tr>
      <w:tr w:rsidR="007C72FA" w:rsidRPr="009F3E3E" w14:paraId="671D5FCC" w14:textId="77777777" w:rsidTr="009F3E3E">
        <w:trPr>
          <w:trHeight w:val="1"/>
        </w:trPr>
        <w:tc>
          <w:tcPr>
            <w:tcW w:w="1728" w:type="dxa"/>
            <w:shd w:val="clear" w:color="000000" w:fill="FFFFFF"/>
            <w:tcMar>
              <w:left w:w="108" w:type="dxa"/>
              <w:right w:w="108" w:type="dxa"/>
            </w:tcMar>
          </w:tcPr>
          <w:p w14:paraId="3786C6C7"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Basic Science</w:t>
            </w:r>
          </w:p>
        </w:tc>
        <w:tc>
          <w:tcPr>
            <w:tcW w:w="1728" w:type="dxa"/>
            <w:shd w:val="clear" w:color="000000" w:fill="FFFFFF"/>
            <w:tcMar>
              <w:left w:w="108" w:type="dxa"/>
              <w:right w:w="108" w:type="dxa"/>
            </w:tcMar>
          </w:tcPr>
          <w:p w14:paraId="48848959"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0.68</w:t>
            </w:r>
          </w:p>
        </w:tc>
        <w:tc>
          <w:tcPr>
            <w:tcW w:w="1728" w:type="dxa"/>
            <w:shd w:val="clear" w:color="000000" w:fill="FFFFFF"/>
            <w:tcMar>
              <w:left w:w="108" w:type="dxa"/>
              <w:right w:w="108" w:type="dxa"/>
            </w:tcMar>
          </w:tcPr>
          <w:p w14:paraId="1F95F8FF"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0.46</w:t>
            </w:r>
          </w:p>
        </w:tc>
        <w:tc>
          <w:tcPr>
            <w:tcW w:w="1728" w:type="dxa"/>
            <w:shd w:val="clear" w:color="000000" w:fill="FFFFFF"/>
            <w:tcMar>
              <w:left w:w="108" w:type="dxa"/>
              <w:right w:w="108" w:type="dxa"/>
            </w:tcMar>
          </w:tcPr>
          <w:p w14:paraId="577E040F"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14.75</w:t>
            </w:r>
          </w:p>
        </w:tc>
        <w:tc>
          <w:tcPr>
            <w:tcW w:w="1728" w:type="dxa"/>
            <w:shd w:val="clear" w:color="000000" w:fill="FFFFFF"/>
            <w:tcMar>
              <w:left w:w="108" w:type="dxa"/>
              <w:right w:w="108" w:type="dxa"/>
            </w:tcMar>
          </w:tcPr>
          <w:p w14:paraId="186EA0D9" w14:textId="77777777" w:rsidR="007C72FA" w:rsidRPr="009F3E3E" w:rsidRDefault="007C72FA" w:rsidP="009F3E3E">
            <w:pPr>
              <w:spacing w:after="0" w:line="240" w:lineRule="auto"/>
              <w:ind w:left="0" w:hanging="2"/>
              <w:rPr>
                <w:sz w:val="20"/>
                <w:szCs w:val="20"/>
              </w:rPr>
            </w:pPr>
            <w:r w:rsidRPr="009F3E3E">
              <w:rPr>
                <w:rFonts w:ascii="Times New Roman" w:eastAsia="Times New Roman" w:hAnsi="Times New Roman" w:cs="Times New Roman"/>
                <w:sz w:val="20"/>
                <w:szCs w:val="20"/>
              </w:rPr>
              <w:t>0.000001</w:t>
            </w:r>
          </w:p>
        </w:tc>
      </w:tr>
    </w:tbl>
    <w:p w14:paraId="7029A17F" w14:textId="10D63300" w:rsidR="007C72FA" w:rsidRPr="009F3E3E" w:rsidRDefault="007C72FA" w:rsidP="00A35F82">
      <w:pPr>
        <w:spacing w:after="0"/>
        <w:ind w:left="0" w:hanging="2"/>
        <w:jc w:val="both"/>
        <w:rPr>
          <w:rFonts w:ascii="New times Roman" w:hAnsi="New times Roman"/>
          <w:sz w:val="20"/>
          <w:szCs w:val="20"/>
        </w:rPr>
      </w:pPr>
      <w:r w:rsidRPr="009F3E3E">
        <w:rPr>
          <w:rFonts w:ascii="Times New Roman" w:eastAsia="Times New Roman" w:hAnsi="Times New Roman" w:cs="Times New Roman"/>
          <w:sz w:val="20"/>
          <w:szCs w:val="20"/>
        </w:rPr>
        <w:t>The results reveal that the relationship between phonological awareness and academic performance differs across subjects. English recorded the highest correlation (r = 0.82), followed by Social Studies (r = 0.75), and Basic Science (r = 0.68). This indicates that phonological awareness has the greatest influence on language-related subjects.</w:t>
      </w:r>
      <w:bookmarkStart w:id="3" w:name="_Toc214961505"/>
      <w:r w:rsidR="00A35F82">
        <w:rPr>
          <w:rFonts w:ascii="Times New Roman" w:eastAsia="Times New Roman" w:hAnsi="Times New Roman" w:cs="Times New Roman"/>
          <w:sz w:val="20"/>
          <w:szCs w:val="20"/>
        </w:rPr>
        <w:t xml:space="preserve"> </w:t>
      </w:r>
      <w:bookmarkEnd w:id="3"/>
      <w:r w:rsidRPr="009F3E3E">
        <w:rPr>
          <w:rFonts w:ascii="New times Roman" w:hAnsi="New times Roman"/>
          <w:sz w:val="20"/>
          <w:szCs w:val="20"/>
        </w:rPr>
        <w:t>English (R2 = 0.67): 67% of variance in English performance is explained by phonological awareness, the highest among the three. This is expected since phonological decoding directly influences reading fluency and comprehension.</w:t>
      </w:r>
      <w:r w:rsidR="00A35F82">
        <w:rPr>
          <w:rFonts w:ascii="New times Roman" w:hAnsi="New times Roman"/>
          <w:sz w:val="20"/>
          <w:szCs w:val="20"/>
        </w:rPr>
        <w:t xml:space="preserve"> </w:t>
      </w:r>
      <w:r w:rsidRPr="009F3E3E">
        <w:rPr>
          <w:rFonts w:ascii="New times Roman" w:hAnsi="New times Roman"/>
          <w:sz w:val="20"/>
          <w:szCs w:val="20"/>
        </w:rPr>
        <w:t>Social Studies (R2 = 0.56): Indicates that content, comprehension and vocabulary recall in Social Studies has a 56% dependence on literacy-related skills.</w:t>
      </w:r>
      <w:r w:rsidR="00A35F82">
        <w:rPr>
          <w:rFonts w:ascii="New times Roman" w:hAnsi="New times Roman"/>
          <w:sz w:val="20"/>
          <w:szCs w:val="20"/>
        </w:rPr>
        <w:t xml:space="preserve"> </w:t>
      </w:r>
      <w:r w:rsidRPr="009F3E3E">
        <w:rPr>
          <w:rFonts w:ascii="New times Roman" w:hAnsi="New times Roman"/>
          <w:sz w:val="20"/>
          <w:szCs w:val="20"/>
        </w:rPr>
        <w:t>Basic Science (R2=0.46): Slightly lower but still substantial, as students with better phonological awareness can more effectively decode scientific terms, understand textual information, and follow oral explanations.</w:t>
      </w:r>
      <w:r w:rsidR="00A35F82">
        <w:rPr>
          <w:rFonts w:ascii="New times Roman" w:hAnsi="New times Roman"/>
          <w:sz w:val="20"/>
          <w:szCs w:val="20"/>
        </w:rPr>
        <w:t xml:space="preserve"> </w:t>
      </w:r>
      <w:r w:rsidRPr="009F3E3E">
        <w:rPr>
          <w:rFonts w:ascii="New times Roman" w:hAnsi="New times Roman"/>
          <w:sz w:val="20"/>
          <w:szCs w:val="20"/>
        </w:rPr>
        <w:t>Collectively, these results confirm that phonological awareness contributes variably but significantly to academic success, exerting the strongest influence in language-rich subjects.</w:t>
      </w:r>
      <w:bookmarkStart w:id="4" w:name="_Toc214961506"/>
    </w:p>
    <w:p w14:paraId="082580C6" w14:textId="77777777" w:rsidR="007C72FA" w:rsidRPr="00A35F82" w:rsidRDefault="007C72FA" w:rsidP="00A35F82">
      <w:pPr>
        <w:spacing w:after="0"/>
        <w:ind w:left="0" w:hanging="2"/>
        <w:jc w:val="both"/>
        <w:rPr>
          <w:rFonts w:ascii="Times New Roman" w:hAnsi="Times New Roman" w:cs="Times New Roman"/>
          <w:b/>
          <w:bCs/>
          <w:sz w:val="24"/>
          <w:szCs w:val="24"/>
        </w:rPr>
      </w:pPr>
      <w:r w:rsidRPr="00A35F82">
        <w:rPr>
          <w:rFonts w:ascii="Times New Roman" w:hAnsi="Times New Roman" w:cs="Times New Roman"/>
          <w:b/>
          <w:bCs/>
          <w:sz w:val="24"/>
          <w:szCs w:val="24"/>
        </w:rPr>
        <w:t>Hypotheses Testing</w:t>
      </w:r>
      <w:bookmarkEnd w:id="4"/>
      <w:r w:rsidRPr="00A35F82">
        <w:rPr>
          <w:rFonts w:ascii="Times New Roman" w:hAnsi="Times New Roman" w:cs="Times New Roman"/>
          <w:b/>
          <w:bCs/>
          <w:sz w:val="24"/>
          <w:szCs w:val="24"/>
        </w:rPr>
        <w:t xml:space="preserve"> </w:t>
      </w:r>
    </w:p>
    <w:p w14:paraId="21C9D451" w14:textId="77777777" w:rsidR="007C72FA" w:rsidRPr="009F3E3E" w:rsidRDefault="007C72FA" w:rsidP="00A35F82">
      <w:pPr>
        <w:spacing w:after="0"/>
        <w:ind w:left="0" w:hanging="2"/>
        <w:jc w:val="both"/>
        <w:rPr>
          <w:rFonts w:ascii="New times Roman" w:hAnsi="New times Roman"/>
          <w:sz w:val="20"/>
          <w:szCs w:val="20"/>
        </w:rPr>
      </w:pPr>
      <w:r w:rsidRPr="009F3E3E">
        <w:rPr>
          <w:rFonts w:ascii="New times Roman" w:hAnsi="New times Roman"/>
          <w:sz w:val="20"/>
          <w:szCs w:val="20"/>
        </w:rPr>
        <w:t>The study was guided by four null hypotheses designed to determine the nature and extent of the relationship between phonological awareness and academic achievement among Basic 8 students in Kaduna State. Each hypothesis was tested using appropriate statistical methods, and all four were rejected based on the empirical results. The expanded explanations below present the decisions and the reasoning drawn directly from the analyzed data.</w:t>
      </w:r>
    </w:p>
    <w:p w14:paraId="318E8089" w14:textId="77777777" w:rsidR="00126825" w:rsidRDefault="007C72FA" w:rsidP="009F3E3E">
      <w:pPr>
        <w:ind w:left="0" w:hanging="2"/>
        <w:jc w:val="both"/>
        <w:rPr>
          <w:rFonts w:ascii="New times Roman" w:hAnsi="New times Roman"/>
          <w:sz w:val="20"/>
          <w:szCs w:val="20"/>
        </w:rPr>
      </w:pPr>
      <w:r w:rsidRPr="009F3E3E">
        <w:rPr>
          <w:rFonts w:ascii="New times Roman" w:hAnsi="New times Roman"/>
          <w:b/>
          <w:sz w:val="20"/>
          <w:szCs w:val="20"/>
        </w:rPr>
        <w:t>Ho</w:t>
      </w:r>
      <w:r w:rsidRPr="00A35F82">
        <w:rPr>
          <w:rFonts w:ascii="New times Roman" w:hAnsi="New times Roman"/>
          <w:b/>
          <w:sz w:val="20"/>
          <w:szCs w:val="20"/>
          <w:vertAlign w:val="subscript"/>
        </w:rPr>
        <w:t>1</w:t>
      </w:r>
      <w:r w:rsidRPr="009F3E3E">
        <w:rPr>
          <w:rFonts w:ascii="New times Roman" w:hAnsi="New times Roman"/>
          <w:sz w:val="20"/>
          <w:szCs w:val="20"/>
        </w:rPr>
        <w:t>: There is no significant variation in the performance outcomes of Basic 8 students in Kaduna State across the five components of the Phonological Awareness Test.</w:t>
      </w:r>
    </w:p>
    <w:p w14:paraId="7B0A07FD" w14:textId="2B153165" w:rsidR="007C72FA" w:rsidRPr="009F3E3E" w:rsidRDefault="007C72FA" w:rsidP="00126825">
      <w:pPr>
        <w:spacing w:after="0"/>
        <w:ind w:left="0" w:hanging="2"/>
        <w:jc w:val="both"/>
        <w:rPr>
          <w:rFonts w:ascii="New times Roman" w:hAnsi="New times Roman"/>
          <w:sz w:val="20"/>
          <w:szCs w:val="20"/>
        </w:rPr>
      </w:pPr>
      <w:r w:rsidRPr="00A35F82">
        <w:rPr>
          <w:rFonts w:ascii="New times Roman" w:hAnsi="New times Roman"/>
          <w:bCs/>
          <w:sz w:val="20"/>
          <w:szCs w:val="20"/>
        </w:rPr>
        <w:t>Decision:</w:t>
      </w:r>
      <w:r w:rsidRPr="009F3E3E">
        <w:rPr>
          <w:rFonts w:ascii="New times Roman" w:hAnsi="New times Roman"/>
          <w:sz w:val="20"/>
          <w:szCs w:val="20"/>
        </w:rPr>
        <w:t xml:space="preserve"> Rejected.</w:t>
      </w:r>
      <w:r w:rsidR="00A35F82">
        <w:rPr>
          <w:rFonts w:ascii="New times Roman" w:hAnsi="New times Roman"/>
          <w:sz w:val="20"/>
          <w:szCs w:val="20"/>
        </w:rPr>
        <w:t xml:space="preserve">; </w:t>
      </w:r>
      <w:r w:rsidRPr="00A35F82">
        <w:rPr>
          <w:rFonts w:ascii="New times Roman" w:hAnsi="New times Roman"/>
          <w:bCs/>
          <w:sz w:val="20"/>
          <w:szCs w:val="20"/>
        </w:rPr>
        <w:t>Justification:</w:t>
      </w:r>
      <w:r w:rsidRPr="009F3E3E">
        <w:rPr>
          <w:rFonts w:ascii="New times Roman" w:hAnsi="New times Roman"/>
          <w:sz w:val="20"/>
          <w:szCs w:val="20"/>
        </w:rPr>
        <w:t xml:space="preserve"> The findings revealed clear and significant variations in students’ performance across the five measured components of phonological awareness: word awareness, syllable awareness, rhyme awareness, onset-rime awareness, and phoneme awareness. Phoneme awareness has the highest mean of 4.99, followed by onset-rime awareness with a mean score of 2.97, rhyme awareness with a mean score of 2.66, syllable awareness with a mean score of 2.44, and lastly, </w:t>
      </w:r>
      <w:proofErr w:type="spellStart"/>
      <w:r w:rsidRPr="009F3E3E">
        <w:rPr>
          <w:rFonts w:ascii="New times Roman" w:hAnsi="New times Roman"/>
          <w:sz w:val="20"/>
          <w:szCs w:val="20"/>
        </w:rPr>
        <w:t>wsord</w:t>
      </w:r>
      <w:proofErr w:type="spellEnd"/>
      <w:r w:rsidRPr="009F3E3E">
        <w:rPr>
          <w:rFonts w:ascii="New times Roman" w:hAnsi="New times Roman"/>
          <w:sz w:val="20"/>
          <w:szCs w:val="20"/>
        </w:rPr>
        <w:t xml:space="preserve"> awareness with a mean score of 2.18. The data showed that students performed highest in phoneme awareness and lowest in word awareness, while the other components fell in between. This pattern suggests that the different dimensions of phonological awareness are not developed at the same rate among students.</w:t>
      </w:r>
      <w:r w:rsidR="00126825">
        <w:rPr>
          <w:rFonts w:ascii="New times Roman" w:hAnsi="New times Roman"/>
          <w:sz w:val="20"/>
          <w:szCs w:val="20"/>
        </w:rPr>
        <w:t xml:space="preserve"> </w:t>
      </w:r>
      <w:r w:rsidRPr="009F3E3E">
        <w:rPr>
          <w:rFonts w:ascii="New times Roman" w:hAnsi="New times Roman"/>
          <w:sz w:val="20"/>
          <w:szCs w:val="20"/>
        </w:rPr>
        <w:t>It became evident that as learners progress in their understanding of the sound structure of language, they tend to gain greater control over smaller sound units such as phonemes. This improvement at the phoneme level may reflect a more refined auditory and cognitive ability to distinguish and manipulate individual sounds in spoken words. The significant variation across components indicates that phonological awareness is a layered and developmental skill set, with each component representing a different stage of linguistic sensitivity. The rejection of this hypothesis confirms that Basic 8 students in Kaduna State exhibit diverse strengths and weaknesses across the spectrum of phonological awareness kills.</w:t>
      </w:r>
    </w:p>
    <w:p w14:paraId="4AE17A22" w14:textId="77777777" w:rsidR="007C72FA" w:rsidRPr="009F3E3E" w:rsidRDefault="007C72FA" w:rsidP="00126825">
      <w:pPr>
        <w:spacing w:after="0"/>
        <w:ind w:left="0" w:hanging="2"/>
        <w:jc w:val="both"/>
        <w:rPr>
          <w:rFonts w:ascii="New times Roman" w:hAnsi="New times Roman"/>
          <w:sz w:val="20"/>
          <w:szCs w:val="20"/>
        </w:rPr>
      </w:pPr>
      <w:r w:rsidRPr="009F3E3E">
        <w:rPr>
          <w:rFonts w:ascii="New times Roman" w:hAnsi="New times Roman"/>
          <w:sz w:val="20"/>
          <w:szCs w:val="20"/>
        </w:rPr>
        <w:t xml:space="preserve"> </w:t>
      </w:r>
      <w:r w:rsidRPr="009F3E3E">
        <w:rPr>
          <w:rFonts w:ascii="New times Roman" w:hAnsi="New times Roman"/>
          <w:b/>
          <w:sz w:val="20"/>
          <w:szCs w:val="20"/>
        </w:rPr>
        <w:t>Ho</w:t>
      </w:r>
      <w:r w:rsidRPr="00126825">
        <w:rPr>
          <w:rFonts w:ascii="New times Roman" w:hAnsi="New times Roman"/>
          <w:b/>
          <w:sz w:val="20"/>
          <w:szCs w:val="20"/>
          <w:vertAlign w:val="subscript"/>
        </w:rPr>
        <w:t>2</w:t>
      </w:r>
      <w:r w:rsidRPr="009F3E3E">
        <w:rPr>
          <w:rFonts w:ascii="New times Roman" w:hAnsi="New times Roman"/>
          <w:sz w:val="20"/>
          <w:szCs w:val="20"/>
        </w:rPr>
        <w:t>: There is no significant relationship between performance in the Phonological Awareness Test and performance in English, Social Studies, and Basic Science among Basic 8 students in Kaduna State.</w:t>
      </w:r>
    </w:p>
    <w:p w14:paraId="0C7FFE89" w14:textId="64BA3A18" w:rsidR="007C72FA" w:rsidRPr="009F3E3E" w:rsidRDefault="007C72FA" w:rsidP="00126825">
      <w:pPr>
        <w:spacing w:after="0"/>
        <w:ind w:left="0" w:hanging="2"/>
        <w:jc w:val="both"/>
        <w:rPr>
          <w:rFonts w:ascii="New times Roman" w:hAnsi="New times Roman"/>
          <w:sz w:val="20"/>
          <w:szCs w:val="20"/>
        </w:rPr>
      </w:pPr>
      <w:r w:rsidRPr="00126825">
        <w:rPr>
          <w:rFonts w:ascii="New times Roman" w:hAnsi="New times Roman"/>
          <w:bCs/>
          <w:sz w:val="20"/>
          <w:szCs w:val="20"/>
        </w:rPr>
        <w:t>Decision</w:t>
      </w:r>
      <w:r w:rsidRPr="009F3E3E">
        <w:rPr>
          <w:rFonts w:ascii="New times Roman" w:hAnsi="New times Roman"/>
          <w:sz w:val="20"/>
          <w:szCs w:val="20"/>
        </w:rPr>
        <w:t>: Rejected.</w:t>
      </w:r>
      <w:r w:rsidR="00126825">
        <w:rPr>
          <w:rFonts w:ascii="New times Roman" w:hAnsi="New times Roman"/>
          <w:sz w:val="20"/>
          <w:szCs w:val="20"/>
        </w:rPr>
        <w:t xml:space="preserve">; </w:t>
      </w:r>
      <w:r w:rsidRPr="00126825">
        <w:rPr>
          <w:rFonts w:ascii="New times Roman" w:hAnsi="New times Roman"/>
          <w:bCs/>
          <w:sz w:val="20"/>
          <w:szCs w:val="20"/>
        </w:rPr>
        <w:t>Justification</w:t>
      </w:r>
      <w:r w:rsidRPr="009F3E3E">
        <w:rPr>
          <w:rFonts w:ascii="New times Roman" w:hAnsi="New times Roman"/>
          <w:sz w:val="20"/>
          <w:szCs w:val="20"/>
        </w:rPr>
        <w:t xml:space="preserve">: The correlation analysis demonstrated strong and positive relationships between phonological awareness and students’ academic performance in all three subjects. The strength of the correlation was highest in English (r = 0.82), followed by Social Studies (r = 0.75), and then Basic Science (r = 0.68). These results clearly </w:t>
      </w:r>
      <w:r w:rsidRPr="009F3E3E">
        <w:rPr>
          <w:rFonts w:ascii="New times Roman" w:hAnsi="New times Roman"/>
          <w:sz w:val="20"/>
          <w:szCs w:val="20"/>
        </w:rPr>
        <w:lastRenderedPageBreak/>
        <w:t>indicate that students who achieved higher scores in phonological awareness also performed better academically across the subjects measured.</w:t>
      </w:r>
      <w:r w:rsidR="00126825">
        <w:rPr>
          <w:rFonts w:ascii="New times Roman" w:hAnsi="New times Roman"/>
          <w:sz w:val="20"/>
          <w:szCs w:val="20"/>
        </w:rPr>
        <w:t xml:space="preserve"> </w:t>
      </w:r>
      <w:r w:rsidRPr="009F3E3E">
        <w:rPr>
          <w:rFonts w:ascii="New times Roman" w:hAnsi="New times Roman"/>
          <w:sz w:val="20"/>
          <w:szCs w:val="20"/>
        </w:rPr>
        <w:t>The close relationship between phonological awareness and English performance is particularly notable, given that English relies heavily on sound-symbol recognition, decoding, and comprehension. However, the meaningful correlations with Social Studies and Basic Science show that the influence of phonological awareness extends beyond language subjects. Students with stronger phonological processing skills seem to read, understand, and retain content more effectively in other disciplines as well. Thus, the rejection of this hypothesis confirms that phonological awareness plays an essential role in general academic performance, not only in English but also in subjects that require reading and comprehension of textual materials.</w:t>
      </w:r>
    </w:p>
    <w:p w14:paraId="25549481" w14:textId="77777777" w:rsidR="007C72FA" w:rsidRPr="009F3E3E" w:rsidRDefault="007C72FA" w:rsidP="00126825">
      <w:pPr>
        <w:spacing w:after="0"/>
        <w:ind w:left="0" w:hanging="2"/>
        <w:jc w:val="both"/>
        <w:rPr>
          <w:rFonts w:ascii="New times Roman" w:hAnsi="New times Roman"/>
          <w:sz w:val="20"/>
          <w:szCs w:val="20"/>
        </w:rPr>
      </w:pPr>
      <w:r w:rsidRPr="009F3E3E">
        <w:rPr>
          <w:rFonts w:ascii="New times Roman" w:hAnsi="New times Roman"/>
          <w:b/>
          <w:sz w:val="20"/>
          <w:szCs w:val="20"/>
        </w:rPr>
        <w:t>Ho</w:t>
      </w:r>
      <w:r w:rsidRPr="00126825">
        <w:rPr>
          <w:rFonts w:ascii="New times Roman" w:hAnsi="New times Roman"/>
          <w:b/>
          <w:sz w:val="20"/>
          <w:szCs w:val="20"/>
          <w:vertAlign w:val="subscript"/>
        </w:rPr>
        <w:t>3</w:t>
      </w:r>
      <w:r w:rsidRPr="009F3E3E">
        <w:rPr>
          <w:rFonts w:ascii="New times Roman" w:hAnsi="New times Roman"/>
          <w:sz w:val="20"/>
          <w:szCs w:val="20"/>
        </w:rPr>
        <w:t>: Phonological awareness does not significantly predict the overall performance of Basic 8 students in English, Social Studies, and Basic Science.</w:t>
      </w:r>
    </w:p>
    <w:p w14:paraId="60567DF1" w14:textId="00CE2ECD" w:rsidR="007C72FA" w:rsidRPr="009F3E3E" w:rsidRDefault="007C72FA" w:rsidP="00126825">
      <w:pPr>
        <w:spacing w:after="0"/>
        <w:ind w:left="0" w:hanging="2"/>
        <w:jc w:val="both"/>
        <w:rPr>
          <w:rFonts w:ascii="New times Roman" w:hAnsi="New times Roman"/>
          <w:sz w:val="20"/>
          <w:szCs w:val="20"/>
        </w:rPr>
      </w:pPr>
      <w:r w:rsidRPr="00126825">
        <w:rPr>
          <w:rFonts w:ascii="New times Roman" w:hAnsi="New times Roman"/>
          <w:bCs/>
          <w:sz w:val="20"/>
          <w:szCs w:val="20"/>
        </w:rPr>
        <w:t>Decision</w:t>
      </w:r>
      <w:r w:rsidRPr="009F3E3E">
        <w:rPr>
          <w:rFonts w:ascii="New times Roman" w:hAnsi="New times Roman"/>
          <w:sz w:val="20"/>
          <w:szCs w:val="20"/>
        </w:rPr>
        <w:t>: Rejected.</w:t>
      </w:r>
      <w:r w:rsidR="00126825">
        <w:rPr>
          <w:rFonts w:ascii="New times Roman" w:hAnsi="New times Roman"/>
          <w:sz w:val="20"/>
          <w:szCs w:val="20"/>
        </w:rPr>
        <w:t xml:space="preserve"> </w:t>
      </w:r>
      <w:r w:rsidRPr="00126825">
        <w:rPr>
          <w:rFonts w:ascii="New times Roman" w:hAnsi="New times Roman"/>
          <w:bCs/>
          <w:sz w:val="20"/>
          <w:szCs w:val="20"/>
        </w:rPr>
        <w:t>Justification:</w:t>
      </w:r>
      <w:r w:rsidRPr="009F3E3E">
        <w:rPr>
          <w:rFonts w:ascii="New times Roman" w:hAnsi="New times Roman"/>
          <w:sz w:val="20"/>
          <w:szCs w:val="20"/>
        </w:rPr>
        <w:t xml:space="preserve"> The regression analysis revealed that phonological awareness significantly predicts overall academic achievement. The statistical model indicated that for every one-unit increase in phonological awareness, there was a corresponding 3.15-point increase in composite academic scores. This means that phonological awareness contributes meaningfully and directly to students’ academic performance across the three subjects examined.</w:t>
      </w:r>
      <w:r w:rsidR="00126825">
        <w:rPr>
          <w:rFonts w:ascii="New times Roman" w:hAnsi="New times Roman"/>
          <w:sz w:val="20"/>
          <w:szCs w:val="20"/>
        </w:rPr>
        <w:t xml:space="preserve"> </w:t>
      </w:r>
      <w:r w:rsidRPr="009F3E3E">
        <w:rPr>
          <w:rFonts w:ascii="New times Roman" w:hAnsi="New times Roman"/>
          <w:sz w:val="20"/>
          <w:szCs w:val="20"/>
        </w:rPr>
        <w:t>This result highlights phonological awareness as a strong and reliable predictor of learning outcomes. The finding implies that students with higher levels of phonological sensitivity tend to process information more efficiently, read with greater understanding, and express ideas more clearly. These abilities, in turn, enhance performance not only in English but in other content-based subjects that require comprehension, interpretation, and application of knowledge. The consistent predictive strength of phonological awareness therefore demonstrates that it serves as a foundational skill influencing broader academic success among Basic 8 students in Kaduna State.</w:t>
      </w:r>
    </w:p>
    <w:p w14:paraId="712A61F6" w14:textId="77777777" w:rsidR="007C72FA" w:rsidRPr="009F3E3E" w:rsidRDefault="007C72FA" w:rsidP="009F3E3E">
      <w:pPr>
        <w:ind w:left="0" w:hanging="2"/>
        <w:jc w:val="both"/>
        <w:rPr>
          <w:rFonts w:ascii="New times Roman" w:hAnsi="New times Roman"/>
          <w:sz w:val="20"/>
          <w:szCs w:val="20"/>
        </w:rPr>
      </w:pPr>
      <w:r w:rsidRPr="009F3E3E">
        <w:rPr>
          <w:rFonts w:ascii="New times Roman" w:hAnsi="New times Roman"/>
          <w:b/>
          <w:sz w:val="20"/>
          <w:szCs w:val="20"/>
        </w:rPr>
        <w:t>Ho</w:t>
      </w:r>
      <w:r w:rsidRPr="00126825">
        <w:rPr>
          <w:rFonts w:ascii="New times Roman" w:hAnsi="New times Roman"/>
          <w:b/>
          <w:sz w:val="20"/>
          <w:szCs w:val="20"/>
          <w:vertAlign w:val="subscript"/>
        </w:rPr>
        <w:t>4</w:t>
      </w:r>
      <w:r w:rsidRPr="009F3E3E">
        <w:rPr>
          <w:rFonts w:ascii="New times Roman" w:hAnsi="New times Roman"/>
          <w:sz w:val="20"/>
          <w:szCs w:val="20"/>
        </w:rPr>
        <w:t>: There is no significant difference in the relationship between phonological awareness and the performance of Basic 8 students across English, Social Studies, and Basic Science.</w:t>
      </w:r>
    </w:p>
    <w:p w14:paraId="28AD67FC" w14:textId="440F0E58" w:rsidR="007C72FA" w:rsidRPr="009F3E3E" w:rsidRDefault="007C72FA" w:rsidP="00126825">
      <w:pPr>
        <w:spacing w:after="0"/>
        <w:ind w:left="0" w:hanging="2"/>
        <w:jc w:val="both"/>
        <w:rPr>
          <w:rFonts w:ascii="New times Roman" w:hAnsi="New times Roman"/>
          <w:sz w:val="20"/>
          <w:szCs w:val="20"/>
        </w:rPr>
      </w:pPr>
      <w:r w:rsidRPr="00126825">
        <w:rPr>
          <w:rFonts w:ascii="New times Roman" w:hAnsi="New times Roman"/>
          <w:bCs/>
          <w:sz w:val="20"/>
          <w:szCs w:val="20"/>
        </w:rPr>
        <w:t>Decision</w:t>
      </w:r>
      <w:r w:rsidRPr="009F3E3E">
        <w:rPr>
          <w:rFonts w:ascii="New times Roman" w:hAnsi="New times Roman"/>
          <w:sz w:val="20"/>
          <w:szCs w:val="20"/>
        </w:rPr>
        <w:t>: Rejected.</w:t>
      </w:r>
      <w:r w:rsidR="00126825">
        <w:rPr>
          <w:rFonts w:ascii="New times Roman" w:hAnsi="New times Roman"/>
          <w:sz w:val="20"/>
          <w:szCs w:val="20"/>
        </w:rPr>
        <w:t xml:space="preserve"> </w:t>
      </w:r>
      <w:r w:rsidRPr="00126825">
        <w:rPr>
          <w:rFonts w:ascii="New times Roman" w:hAnsi="New times Roman"/>
          <w:bCs/>
          <w:sz w:val="20"/>
          <w:szCs w:val="20"/>
        </w:rPr>
        <w:t>Justification</w:t>
      </w:r>
      <w:r w:rsidRPr="009F3E3E">
        <w:rPr>
          <w:rFonts w:ascii="New times Roman" w:hAnsi="New times Roman"/>
          <w:sz w:val="20"/>
          <w:szCs w:val="20"/>
        </w:rPr>
        <w:t>: The analysis revealed significant differences in the strength of the relationship between phonological awareness and performance across the three subjects. English showed the highest level of dependency on phonological awareness, followed by Social Studies and Basic Science. This variation indicates that although phonological awareness supports learning in all subjects, its degree of influence is not uniform.</w:t>
      </w:r>
      <w:r w:rsidR="00126825">
        <w:rPr>
          <w:rFonts w:ascii="New times Roman" w:hAnsi="New times Roman"/>
          <w:sz w:val="20"/>
          <w:szCs w:val="20"/>
        </w:rPr>
        <w:t xml:space="preserve"> </w:t>
      </w:r>
      <w:r w:rsidRPr="009F3E3E">
        <w:rPr>
          <w:rFonts w:ascii="New times Roman" w:hAnsi="New times Roman"/>
          <w:sz w:val="20"/>
          <w:szCs w:val="20"/>
        </w:rPr>
        <w:t>The stronger relationship observed In English suggests that the subject relies more directly on students’ ability to recognize and manipulate the sounds of language for reading, spelling, and comprehension. In contrast, the relatively lower correlations in Social Studies and Basic Science suggest that phonological awareness supports learning in these subjects more indirectly, by improving reading fluency, vocabulary development, and the ability to interpret written material. The rejection of this hypothesis therefore confirms that while phonological awareness has a broad and positive effect on academic achievement, the magnitude of its impact varies depending on the linguistic and conceptual nature of each subject.</w:t>
      </w:r>
      <w:r w:rsidR="00126825">
        <w:rPr>
          <w:rFonts w:ascii="New times Roman" w:hAnsi="New times Roman"/>
          <w:sz w:val="20"/>
          <w:szCs w:val="20"/>
        </w:rPr>
        <w:t xml:space="preserve"> </w:t>
      </w:r>
      <w:r w:rsidRPr="009F3E3E">
        <w:rPr>
          <w:rFonts w:ascii="New times Roman" w:hAnsi="New times Roman"/>
          <w:sz w:val="20"/>
          <w:szCs w:val="20"/>
        </w:rPr>
        <w:t>The rejection of all four null hypotheses demonstrates that phonological awareness is both a significant and multidimensional factor influencing students’ academic outcomes. The findings of this study show that phonological awareness does not function as a single, uniform ability but rather as a complex set of interrelated skills that develop progressively and contribute differently to learning across subjects. The overall results affirm that enhancing students’ phonological awareness has the potential to strengthen their academic performance, not only in language-based subjects like English but also in concept-oriented subjects such as Social Studies and Basic Science.</w:t>
      </w:r>
    </w:p>
    <w:p w14:paraId="1F7AE71F" w14:textId="4AA82FF4" w:rsidR="007C72FA" w:rsidRPr="00126825" w:rsidRDefault="00126825" w:rsidP="00126825">
      <w:pPr>
        <w:spacing w:after="0"/>
        <w:ind w:left="0" w:hanging="2"/>
        <w:jc w:val="both"/>
        <w:rPr>
          <w:rFonts w:ascii="Times New Roman" w:eastAsia="Times New Roman" w:hAnsi="Times New Roman" w:cs="Times New Roman"/>
          <w:sz w:val="24"/>
          <w:szCs w:val="24"/>
        </w:rPr>
      </w:pPr>
      <w:r w:rsidRPr="00126825">
        <w:rPr>
          <w:rFonts w:ascii="Times New Roman" w:eastAsia="Times New Roman" w:hAnsi="Times New Roman" w:cs="Times New Roman"/>
          <w:b/>
          <w:sz w:val="24"/>
          <w:szCs w:val="24"/>
        </w:rPr>
        <w:t>Summary of Findings</w:t>
      </w:r>
      <w:r w:rsidR="007C72FA" w:rsidRPr="00126825">
        <w:rPr>
          <w:rFonts w:ascii="Times New Roman" w:eastAsia="Times New Roman" w:hAnsi="Times New Roman" w:cs="Times New Roman"/>
          <w:b/>
          <w:sz w:val="24"/>
          <w:szCs w:val="24"/>
        </w:rPr>
        <w:t>:</w:t>
      </w:r>
    </w:p>
    <w:p w14:paraId="4901490F" w14:textId="77777777"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The analysis revealed the following correlational relationships:</w:t>
      </w:r>
    </w:p>
    <w:p w14:paraId="72926146" w14:textId="74AAAE1E" w:rsidR="00126825" w:rsidRPr="00126825" w:rsidRDefault="007C72FA" w:rsidP="00126825">
      <w:pPr>
        <w:pStyle w:val="ListParagraph"/>
        <w:numPr>
          <w:ilvl w:val="0"/>
          <w:numId w:val="40"/>
        </w:numPr>
        <w:ind w:leftChars="0" w:firstLineChars="0"/>
        <w:jc w:val="both"/>
        <w:rPr>
          <w:rFonts w:ascii="Times New Roman" w:eastAsia="Times New Roman" w:hAnsi="Times New Roman" w:cs="Times New Roman"/>
          <w:sz w:val="20"/>
          <w:szCs w:val="20"/>
        </w:rPr>
      </w:pPr>
      <w:r w:rsidRPr="00126825">
        <w:rPr>
          <w:rFonts w:ascii="Times New Roman" w:eastAsia="Times New Roman" w:hAnsi="Times New Roman" w:cs="Times New Roman"/>
          <w:sz w:val="20"/>
          <w:szCs w:val="20"/>
        </w:rPr>
        <w:t>Phonological Awareness and English Language Achievement: A very strong, positive, and statistically significant correlation was found (r = .82, p &lt; .001).</w:t>
      </w:r>
    </w:p>
    <w:p w14:paraId="6D5081F0" w14:textId="77777777" w:rsidR="00126825" w:rsidRDefault="007C72FA" w:rsidP="00126825">
      <w:pPr>
        <w:pStyle w:val="ListParagraph"/>
        <w:numPr>
          <w:ilvl w:val="0"/>
          <w:numId w:val="40"/>
        </w:numPr>
        <w:ind w:leftChars="0" w:firstLineChars="0"/>
        <w:jc w:val="both"/>
        <w:rPr>
          <w:rFonts w:ascii="Times New Roman" w:eastAsia="Times New Roman" w:hAnsi="Times New Roman" w:cs="Times New Roman"/>
          <w:sz w:val="20"/>
          <w:szCs w:val="20"/>
        </w:rPr>
      </w:pPr>
      <w:r w:rsidRPr="00126825">
        <w:rPr>
          <w:rFonts w:ascii="Times New Roman" w:eastAsia="Times New Roman" w:hAnsi="Times New Roman" w:cs="Times New Roman"/>
          <w:sz w:val="20"/>
          <w:szCs w:val="20"/>
        </w:rPr>
        <w:t>Phonological Awareness and Social Studies Achievement: A strong, positive, and statistically significant correlation was found (r = .75, p &lt; .001).</w:t>
      </w:r>
    </w:p>
    <w:p w14:paraId="5B1074B0" w14:textId="2A0718D6" w:rsidR="007C72FA" w:rsidRPr="00126825" w:rsidRDefault="007C72FA" w:rsidP="00126825">
      <w:pPr>
        <w:pStyle w:val="ListParagraph"/>
        <w:numPr>
          <w:ilvl w:val="0"/>
          <w:numId w:val="40"/>
        </w:numPr>
        <w:spacing w:after="0"/>
        <w:ind w:leftChars="0" w:firstLineChars="0"/>
        <w:jc w:val="both"/>
        <w:rPr>
          <w:rFonts w:ascii="Times New Roman" w:eastAsia="Times New Roman" w:hAnsi="Times New Roman" w:cs="Times New Roman"/>
          <w:sz w:val="20"/>
          <w:szCs w:val="20"/>
        </w:rPr>
      </w:pPr>
      <w:r w:rsidRPr="00126825">
        <w:rPr>
          <w:rFonts w:ascii="Times New Roman" w:eastAsia="Times New Roman" w:hAnsi="Times New Roman" w:cs="Times New Roman"/>
          <w:sz w:val="20"/>
          <w:szCs w:val="20"/>
        </w:rPr>
        <w:t>Phonological Awareness and Basic Science Achievement: A moderate, positive, and statistically significant correlation was found (r = .68, p &lt; .001).</w:t>
      </w:r>
    </w:p>
    <w:p w14:paraId="78DE02F0" w14:textId="77777777" w:rsidR="00126825" w:rsidRDefault="00126825" w:rsidP="00126825">
      <w:pPr>
        <w:spacing w:after="0"/>
        <w:ind w:left="0" w:hanging="2"/>
        <w:rPr>
          <w:rFonts w:ascii="Times New Roman" w:eastAsia="Times New Roman" w:hAnsi="Times New Roman" w:cs="Times New Roman"/>
          <w:b/>
          <w:sz w:val="24"/>
          <w:szCs w:val="24"/>
        </w:rPr>
      </w:pPr>
    </w:p>
    <w:p w14:paraId="0C6A5A4D" w14:textId="77777777" w:rsidR="00126825" w:rsidRDefault="00126825" w:rsidP="00126825">
      <w:pPr>
        <w:spacing w:after="0"/>
        <w:ind w:left="0" w:hanging="2"/>
        <w:rPr>
          <w:rFonts w:ascii="Times New Roman" w:eastAsia="Times New Roman" w:hAnsi="Times New Roman" w:cs="Times New Roman"/>
          <w:b/>
          <w:sz w:val="24"/>
          <w:szCs w:val="24"/>
        </w:rPr>
      </w:pPr>
    </w:p>
    <w:p w14:paraId="21596233" w14:textId="7823B1D6" w:rsidR="007C72FA" w:rsidRPr="009F3E3E" w:rsidRDefault="007C72FA" w:rsidP="00126825">
      <w:pPr>
        <w:spacing w:after="0"/>
        <w:ind w:left="0" w:hanging="2"/>
        <w:rPr>
          <w:rFonts w:ascii="Times New Roman" w:eastAsia="Times New Roman" w:hAnsi="Times New Roman" w:cs="Times New Roman"/>
          <w:sz w:val="20"/>
          <w:szCs w:val="20"/>
        </w:rPr>
      </w:pPr>
      <w:r w:rsidRPr="00126825">
        <w:rPr>
          <w:rFonts w:ascii="Times New Roman" w:eastAsia="Times New Roman" w:hAnsi="Times New Roman" w:cs="Times New Roman"/>
          <w:b/>
          <w:sz w:val="24"/>
          <w:szCs w:val="24"/>
        </w:rPr>
        <w:lastRenderedPageBreak/>
        <w:t>Discussion of Findings</w:t>
      </w:r>
      <w:r w:rsidRPr="009F3E3E">
        <w:rPr>
          <w:rFonts w:ascii="Times New Roman" w:eastAsia="Times New Roman" w:hAnsi="Times New Roman" w:cs="Times New Roman"/>
          <w:b/>
          <w:sz w:val="20"/>
          <w:szCs w:val="20"/>
        </w:rPr>
        <w:t xml:space="preserve"> </w:t>
      </w:r>
    </w:p>
    <w:p w14:paraId="7D190555" w14:textId="77777777"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The findings of this study provide robust empirical support for the tenets of the Phonological Processing Theory (Torgesen &amp; Wagner, 1987) within the Nigerian junior secondary school context. The significant correlations observed between phonological awareness (PA) and achievement across three distinct subjects underscore the theory’s assertion that efficient phonological processing is a foundational pillar of academic learning, not merely a skill for reading English.</w:t>
      </w:r>
    </w:p>
    <w:p w14:paraId="43EE80AB" w14:textId="69AF23A5"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b/>
          <w:sz w:val="20"/>
          <w:szCs w:val="20"/>
        </w:rPr>
        <w:t>The Centrality of PA in English Language Achievement</w:t>
      </w:r>
    </w:p>
    <w:p w14:paraId="2FCB0474" w14:textId="77777777"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The very strong positive correlation (r = .82, p &lt; .001) between PA and English Language achievement is a direct and expected validation of the theory. Torgesen and Wagner (1987) positioned phonological awareness as the cornerstone of decoding—the ability to map graphemes to phonemes. In the context of learning English as a second language in Nigeria, this decoding skill is paramount. Students with strong PA can efficiently break down unfamiliar words, which is a critical skill for vocabulary acquisition, reading fluency, and ultimately, comprehension (Jimoh, 2023). The high correlation suggests that a significant portion of the variance in English performance among Basic 8 students in Kaduna State can be attributed to their fundamental ability to manipulate and process the sound structure of the English language. This finding reinforces that struggles in English language classes are often, at their core, struggles with phonological processing.</w:t>
      </w:r>
    </w:p>
    <w:p w14:paraId="33EA29CB" w14:textId="470C81C9"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b/>
          <w:sz w:val="20"/>
          <w:szCs w:val="20"/>
        </w:rPr>
        <w:t>Freeing Cognitive Resources for Learning in Social Studies</w:t>
      </w:r>
    </w:p>
    <w:p w14:paraId="39522232" w14:textId="77777777"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The strong positive correlation (r = .75, p &lt; .001) with Social Studies achievement illuminates a more nuanced application of the theory. Social Studies, while content-heavy, is fundamentally a subject reliant on text comprehension, narrative understanding, and the processing of expository language. According to the Cognitive Load Theory (</w:t>
      </w:r>
      <w:proofErr w:type="spellStart"/>
      <w:r w:rsidRPr="009F3E3E">
        <w:rPr>
          <w:rFonts w:ascii="Times New Roman" w:eastAsia="Times New Roman" w:hAnsi="Times New Roman" w:cs="Times New Roman"/>
          <w:sz w:val="20"/>
          <w:szCs w:val="20"/>
        </w:rPr>
        <w:t>Sweller</w:t>
      </w:r>
      <w:proofErr w:type="spellEnd"/>
      <w:r w:rsidRPr="009F3E3E">
        <w:rPr>
          <w:rFonts w:ascii="Times New Roman" w:eastAsia="Times New Roman" w:hAnsi="Times New Roman" w:cs="Times New Roman"/>
          <w:sz w:val="20"/>
          <w:szCs w:val="20"/>
        </w:rPr>
        <w:t>, 1988), working memory has a limited capacity. When a student’s working memory is consumed by the effortful task of decoding words like “constitution,” “globalization,” or “infrastructure,” few cognitive resources remain for the higher-order tasks of comprehension, analysis, and critical thinking. Efficient phonological processing, as facilitated by strong PA, automates the decoding process. This automation “frees up” working memory resources, allowing students to focus on understanding the historical significance of events, the interconnectedness of social systems, and the meaning behind the text, rather than struggling with the text itself (Abubakar, 2023). Therefore, PA indirectly supports Social Studies learning by enabling the cognitive conditions necessary for deep comprehension.</w:t>
      </w:r>
    </w:p>
    <w:p w14:paraId="1EF69CA7" w14:textId="000B2BCA"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b/>
          <w:sz w:val="20"/>
          <w:szCs w:val="20"/>
        </w:rPr>
        <w:t>The Interplay of Skills in Basic Science</w:t>
      </w:r>
    </w:p>
    <w:p w14:paraId="564C29D2" w14:textId="7B051A34"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The moderate, yet statistically significant, correlation (r = .68, p &lt; .001) with Basic Science achievement offers a compelling insight into the multi-faceted nature of science learning. This finding aligns with the Phonological Processing Theory but also highlights its boundaries. Basic Science undoubtedly presents a high linguistic demand; complex, multi-syllabic terminology like “photosynthesis,” “electromagnetism,” and “precipitation” requires sophisticated phonological skills to decode and process (Eze, 2024). A student with poor PA will likely stumble over these terms, hindering their access to the underlying concepts.</w:t>
      </w:r>
      <w:r w:rsidR="00126825">
        <w:rPr>
          <w:rFonts w:ascii="Times New Roman" w:eastAsia="Times New Roman" w:hAnsi="Times New Roman" w:cs="Times New Roman"/>
          <w:sz w:val="20"/>
          <w:szCs w:val="20"/>
        </w:rPr>
        <w:t xml:space="preserve"> </w:t>
      </w:r>
      <w:r w:rsidRPr="009F3E3E">
        <w:rPr>
          <w:rFonts w:ascii="Times New Roman" w:eastAsia="Times New Roman" w:hAnsi="Times New Roman" w:cs="Times New Roman"/>
          <w:sz w:val="20"/>
          <w:szCs w:val="20"/>
        </w:rPr>
        <w:t>However, the moderate strength of the correlation indicates that other cognitive domains account for a larger proportion of the variance in science performance. Success in Basic Science also heavily depends on logical reasoning, mathematical ability, visual-spatial skills for interpreting diagrams, and hands-on practical reasoning (Adeniji, 2023). A student might have strong phonological awareness but struggle with the abstract logic of the scientific method. Conversely, a student with moderate PA might excel in science due to strengths in these other non-linguistic domains. Thus, while PA is a crucial enabling skill for handling the language of science, it is one of several core competencies required for high achievement. This finding cautions against a reductionist view and emphasizes the need for a holistic approach to student support.</w:t>
      </w:r>
    </w:p>
    <w:p w14:paraId="42ED33D5" w14:textId="77777777" w:rsidR="007C72FA" w:rsidRPr="00126825" w:rsidRDefault="007C72FA" w:rsidP="00126825">
      <w:pPr>
        <w:spacing w:after="0"/>
        <w:ind w:left="0" w:hanging="2"/>
        <w:rPr>
          <w:rFonts w:ascii="Times New Roman" w:eastAsia="Times New Roman" w:hAnsi="Times New Roman" w:cs="Times New Roman"/>
          <w:sz w:val="24"/>
          <w:szCs w:val="24"/>
        </w:rPr>
      </w:pPr>
      <w:r w:rsidRPr="00126825">
        <w:rPr>
          <w:rFonts w:ascii="Times New Roman" w:eastAsia="Times New Roman" w:hAnsi="Times New Roman" w:cs="Times New Roman"/>
          <w:b/>
          <w:sz w:val="24"/>
          <w:szCs w:val="24"/>
        </w:rPr>
        <w:t>Implications for Educational Practice</w:t>
      </w:r>
    </w:p>
    <w:p w14:paraId="20EA445A" w14:textId="77777777"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The convergence of these findings through the lens of Phonological Processing Theory has critical and multi-layered implications for the Nigerian educational system.</w:t>
      </w:r>
    </w:p>
    <w:p w14:paraId="564CFF98" w14:textId="3485F849"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b/>
          <w:sz w:val="20"/>
          <w:szCs w:val="20"/>
        </w:rPr>
        <w:t>Implications for Diagnostic Assessment and Student Support</w:t>
      </w:r>
    </w:p>
    <w:p w14:paraId="62F64E52" w14:textId="77777777"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 xml:space="preserve">The results argue compellingly for a systemic shift from reactive to proactive student support. Relying on examination failure to identify learning difficulties is too late. There is an urgent need for the implementation of early and routine screening for phonological processing deficits at the entry point into junior secondary school (Basic 7). As Oyetunji (2022) notes, “the window for effective intervention narrows with each academic year, making early diagnosis critical” (p. 154). Such screening should be comprehensive, assessing not only PA but also phonological memory and rapid automatized naming (RAN), as a weakness in any of these areas can manifest as an academic struggle. A student with poor phonological </w:t>
      </w:r>
      <w:r w:rsidRPr="009F3E3E">
        <w:rPr>
          <w:rFonts w:ascii="Times New Roman" w:eastAsia="Times New Roman" w:hAnsi="Times New Roman" w:cs="Times New Roman"/>
          <w:sz w:val="20"/>
          <w:szCs w:val="20"/>
        </w:rPr>
        <w:lastRenderedPageBreak/>
        <w:t>memory may fail to follow multi-step science instructions, while a student with a RAN deficit may read so slowly that they cannot complete their Social Studies textbook assignments (Bala, 2023). A detailed diagnostic profile allows for support that is precisely targeted to the root cause of the difficulty.</w:t>
      </w:r>
    </w:p>
    <w:p w14:paraId="1E279368" w14:textId="20ADF69E"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b/>
          <w:sz w:val="20"/>
          <w:szCs w:val="20"/>
        </w:rPr>
        <w:t>Implications for Instructional Practice and Pedagogy</w:t>
      </w:r>
    </w:p>
    <w:p w14:paraId="6F4EBAAB" w14:textId="77777777"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The theory-driven nature of these findings demands a move beyond generic instructional strategies towards highly differentiated pedagogy. The “one-size-fits-all” remedial reading class is an inefficient solution. Interventions must be as specific as the processing deficits they aim to address.</w:t>
      </w:r>
    </w:p>
    <w:p w14:paraId="1E1D32CF" w14:textId="77777777" w:rsidR="00126825" w:rsidRDefault="007C72FA" w:rsidP="00126825">
      <w:pPr>
        <w:numPr>
          <w:ilvl w:val="0"/>
          <w:numId w:val="34"/>
        </w:numPr>
        <w:suppressAutoHyphens w:val="0"/>
        <w:spacing w:after="160"/>
        <w:ind w:leftChars="0" w:left="284" w:firstLineChars="0" w:hanging="286"/>
        <w:jc w:val="both"/>
        <w:textDirection w:val="lrTb"/>
        <w:textAlignment w:val="auto"/>
        <w:outlineLvl w:val="9"/>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For students with phonological memory deficits, teachers across all subjects can implement “cognitive load lightening” strategies. This includes providing written instructions to supplement verbal ones, “chunking” information into smaller units, and using graphic organizers to offload information from the auditory channel (Mohammed &amp; Ibro, 2024).</w:t>
      </w:r>
    </w:p>
    <w:p w14:paraId="7E372991" w14:textId="394EC660" w:rsidR="007C72FA" w:rsidRPr="00126825" w:rsidRDefault="007C72FA" w:rsidP="00126825">
      <w:pPr>
        <w:numPr>
          <w:ilvl w:val="0"/>
          <w:numId w:val="34"/>
        </w:numPr>
        <w:suppressAutoHyphens w:val="0"/>
        <w:spacing w:after="0"/>
        <w:ind w:leftChars="0" w:left="284" w:firstLineChars="0" w:hanging="286"/>
        <w:jc w:val="both"/>
        <w:textDirection w:val="lrTb"/>
        <w:textAlignment w:val="auto"/>
        <w:outlineLvl w:val="9"/>
        <w:rPr>
          <w:rFonts w:ascii="Times New Roman" w:eastAsia="Times New Roman" w:hAnsi="Times New Roman" w:cs="Times New Roman"/>
          <w:sz w:val="20"/>
          <w:szCs w:val="20"/>
        </w:rPr>
      </w:pPr>
      <w:r w:rsidRPr="00126825">
        <w:rPr>
          <w:rFonts w:ascii="Times New Roman" w:eastAsia="Times New Roman" w:hAnsi="Times New Roman" w:cs="Times New Roman"/>
          <w:sz w:val="20"/>
          <w:szCs w:val="20"/>
        </w:rPr>
        <w:t>For students struggling with RAN and reading fluency, repeated reading exercises using subject-specific texts, timed practice with high-frequency academic vocabulary, and partner reading can help build automaticity (</w:t>
      </w:r>
      <w:proofErr w:type="spellStart"/>
      <w:r w:rsidRPr="00126825">
        <w:rPr>
          <w:rFonts w:ascii="Times New Roman" w:eastAsia="Times New Roman" w:hAnsi="Times New Roman" w:cs="Times New Roman"/>
          <w:sz w:val="20"/>
          <w:szCs w:val="20"/>
        </w:rPr>
        <w:t>Adekanye</w:t>
      </w:r>
      <w:proofErr w:type="spellEnd"/>
      <w:r w:rsidRPr="00126825">
        <w:rPr>
          <w:rFonts w:ascii="Times New Roman" w:eastAsia="Times New Roman" w:hAnsi="Times New Roman" w:cs="Times New Roman"/>
          <w:sz w:val="20"/>
          <w:szCs w:val="20"/>
        </w:rPr>
        <w:t>, 2022). This approach transforms instructional practice from a blanket coverage model to a diagnostic and prescriptive one.</w:t>
      </w:r>
    </w:p>
    <w:p w14:paraId="09581CC4" w14:textId="6324DF12"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b/>
          <w:sz w:val="20"/>
          <w:szCs w:val="20"/>
        </w:rPr>
        <w:t>Implications for Teacher Training and Professional Development</w:t>
      </w:r>
    </w:p>
    <w:p w14:paraId="14543E4F" w14:textId="77777777"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The current model of teacher training, which often siloes subject knowledge, is rendered inadequate by this study’s conclusions. The pervasive assumption that literacy is the sole responsibility of the English teacher must be dismantled. Pre-service training for all secondary school teachers must incorporate foundational modules on language acquisition and the Phonological Processing Theory. Social Studies and Science teachers need to understand that a student’s difficulty may stem from a phonological barrier to the language of the discipline, not a conceptual deficit (Bello, 2022). For in-service teachers, professional development must provide concrete, subject-specific strategies. Science teachers can learn to break down complex terms morphologically, while Social Studies teachers can be trained in pre-teaching key vocabulary. This represents a paradigm shift, equipping every teacher with the tools to be a teacher of literacy within their specific content area.</w:t>
      </w:r>
    </w:p>
    <w:p w14:paraId="05374BFA" w14:textId="77777777" w:rsidR="00126825" w:rsidRPr="00126825" w:rsidRDefault="00126825" w:rsidP="00126825">
      <w:pPr>
        <w:spacing w:after="0"/>
        <w:ind w:left="0" w:hanging="2"/>
        <w:rPr>
          <w:rFonts w:ascii="Times New Roman" w:eastAsia="Times New Roman" w:hAnsi="Times New Roman" w:cs="Times New Roman"/>
          <w:b/>
          <w:sz w:val="24"/>
          <w:szCs w:val="24"/>
        </w:rPr>
      </w:pPr>
      <w:r w:rsidRPr="00126825">
        <w:rPr>
          <w:rFonts w:ascii="Times New Roman" w:eastAsia="Times New Roman" w:hAnsi="Times New Roman" w:cs="Times New Roman"/>
          <w:b/>
          <w:sz w:val="24"/>
          <w:szCs w:val="24"/>
        </w:rPr>
        <w:t xml:space="preserve">Conclusion </w:t>
      </w:r>
    </w:p>
    <w:p w14:paraId="356A6E18" w14:textId="736CCE8C" w:rsidR="00126825" w:rsidRPr="009F3E3E" w:rsidRDefault="00126825" w:rsidP="00126825">
      <w:pPr>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This study, rigorously guided by the Phonological Processing Theory (Torgesen &amp; Wagner, 1987), has unequivocally demonstrated that phonological awareness is a powerful, cross-curricular factor correlating significantly with academic achievement. The gradient of the correlations provides a nuanced map of the linguistic demands of English, Social Studies, and Basic Science, yet the consistent significance across all three confirms a universal truth: a deficit in this foundational cognitive skill can create a significant bottleneck to learning. By pinpointing this specific cognitive barrier, our educational response can evolve from generic support to precisely targeted, theory-driven interventions.</w:t>
      </w:r>
      <w:r>
        <w:rPr>
          <w:rFonts w:ascii="Times New Roman" w:eastAsia="Times New Roman" w:hAnsi="Times New Roman" w:cs="Times New Roman"/>
          <w:sz w:val="20"/>
          <w:szCs w:val="20"/>
        </w:rPr>
        <w:t xml:space="preserve"> </w:t>
      </w:r>
      <w:r w:rsidRPr="009F3E3E">
        <w:rPr>
          <w:rFonts w:ascii="Times New Roman" w:eastAsia="Times New Roman" w:hAnsi="Times New Roman" w:cs="Times New Roman"/>
          <w:sz w:val="20"/>
          <w:szCs w:val="20"/>
        </w:rPr>
        <w:t>The findings advocate for a paradigm shift in interpreting academic underperformance. For many students in multilingual contexts like Kaduna State, the challenge is not a lack of intelligence or effort, but a weakness in the cognitive tools required to process the academic language through which knowledge is delivered. The student who fails a Basic Science test may understand the concept of plant growth but be defeated by the phonological complexity of “photosynthesis.” Recognizing this distinction is a crucial step toward educational equity. Addressing these core phonological processing skills is, therefore, an essential strategy for unlocking the inherent potential of every learner.</w:t>
      </w:r>
      <w:r>
        <w:rPr>
          <w:rFonts w:ascii="Times New Roman" w:eastAsia="Times New Roman" w:hAnsi="Times New Roman" w:cs="Times New Roman"/>
          <w:sz w:val="20"/>
          <w:szCs w:val="20"/>
        </w:rPr>
        <w:t xml:space="preserve"> </w:t>
      </w:r>
    </w:p>
    <w:p w14:paraId="75211524" w14:textId="57C2A10D" w:rsidR="007C72FA" w:rsidRPr="00126825" w:rsidRDefault="007C72FA" w:rsidP="00126825">
      <w:pPr>
        <w:spacing w:after="0"/>
        <w:ind w:left="0" w:hanging="2"/>
        <w:rPr>
          <w:rFonts w:ascii="Times New Roman" w:eastAsia="Times New Roman" w:hAnsi="Times New Roman" w:cs="Times New Roman"/>
          <w:sz w:val="24"/>
          <w:szCs w:val="24"/>
        </w:rPr>
      </w:pPr>
      <w:r w:rsidRPr="00126825">
        <w:rPr>
          <w:rFonts w:ascii="Times New Roman" w:eastAsia="Times New Roman" w:hAnsi="Times New Roman" w:cs="Times New Roman"/>
          <w:b/>
          <w:sz w:val="24"/>
          <w:szCs w:val="24"/>
        </w:rPr>
        <w:t>Recommendations</w:t>
      </w:r>
    </w:p>
    <w:p w14:paraId="1134EA2F" w14:textId="77777777" w:rsidR="007C72FA" w:rsidRPr="009F3E3E" w:rsidRDefault="007C72FA" w:rsidP="00126825">
      <w:pPr>
        <w:spacing w:after="0"/>
        <w:ind w:left="0" w:hanging="2"/>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Based on the implications drawn, the following concrete recommendations are proposed for educators, administrators, and policymakers.</w:t>
      </w:r>
    </w:p>
    <w:p w14:paraId="7EC79FF8" w14:textId="77777777" w:rsidR="00126825" w:rsidRDefault="007C72FA" w:rsidP="00126825">
      <w:pPr>
        <w:pStyle w:val="ListParagraph"/>
        <w:numPr>
          <w:ilvl w:val="0"/>
          <w:numId w:val="41"/>
        </w:numPr>
        <w:ind w:leftChars="0" w:left="284" w:firstLineChars="0" w:hanging="284"/>
        <w:jc w:val="both"/>
        <w:rPr>
          <w:rFonts w:ascii="Times New Roman" w:eastAsia="Times New Roman" w:hAnsi="Times New Roman" w:cs="Times New Roman"/>
          <w:sz w:val="20"/>
          <w:szCs w:val="20"/>
        </w:rPr>
      </w:pPr>
      <w:r w:rsidRPr="00126825">
        <w:rPr>
          <w:rFonts w:ascii="Times New Roman" w:eastAsia="Times New Roman" w:hAnsi="Times New Roman" w:cs="Times New Roman"/>
          <w:sz w:val="20"/>
          <w:szCs w:val="20"/>
        </w:rPr>
        <w:t>Implement School-Wide, Integrated Literacy Support: It is recommended that the Kaduna State Universal Basic Education Board (SUBEB) mandate and resource integrated literacy support programs. A daily “Literacy Across the Curriculum” period should be instituted, where all teachers use materials from their subjects to explicitly teach phonological and vocabulary skills. For example, a Basic Science teacher could use a text on ecosystems to practice syllable segmentation with words like “bi-o-di-</w:t>
      </w:r>
      <w:proofErr w:type="spellStart"/>
      <w:r w:rsidRPr="00126825">
        <w:rPr>
          <w:rFonts w:ascii="Times New Roman" w:eastAsia="Times New Roman" w:hAnsi="Times New Roman" w:cs="Times New Roman"/>
          <w:sz w:val="20"/>
          <w:szCs w:val="20"/>
        </w:rPr>
        <w:t>ver</w:t>
      </w:r>
      <w:proofErr w:type="spellEnd"/>
      <w:r w:rsidRPr="00126825">
        <w:rPr>
          <w:rFonts w:ascii="Times New Roman" w:eastAsia="Times New Roman" w:hAnsi="Times New Roman" w:cs="Times New Roman"/>
          <w:sz w:val="20"/>
          <w:szCs w:val="20"/>
        </w:rPr>
        <w:t>-</w:t>
      </w:r>
      <w:proofErr w:type="spellStart"/>
      <w:r w:rsidRPr="00126825">
        <w:rPr>
          <w:rFonts w:ascii="Times New Roman" w:eastAsia="Times New Roman" w:hAnsi="Times New Roman" w:cs="Times New Roman"/>
          <w:sz w:val="20"/>
          <w:szCs w:val="20"/>
        </w:rPr>
        <w:t>si</w:t>
      </w:r>
      <w:proofErr w:type="spellEnd"/>
      <w:r w:rsidRPr="00126825">
        <w:rPr>
          <w:rFonts w:ascii="Times New Roman" w:eastAsia="Times New Roman" w:hAnsi="Times New Roman" w:cs="Times New Roman"/>
          <w:sz w:val="20"/>
          <w:szCs w:val="20"/>
        </w:rPr>
        <w:t>-ty,” thereby reinforcing both literacy and content knowledge simultaneously (Eze, 2024).</w:t>
      </w:r>
    </w:p>
    <w:p w14:paraId="58DCA6B8" w14:textId="77777777" w:rsidR="00126825" w:rsidRDefault="007C72FA" w:rsidP="00126825">
      <w:pPr>
        <w:pStyle w:val="ListParagraph"/>
        <w:numPr>
          <w:ilvl w:val="0"/>
          <w:numId w:val="41"/>
        </w:numPr>
        <w:ind w:leftChars="0" w:left="284" w:firstLineChars="0" w:hanging="284"/>
        <w:jc w:val="both"/>
        <w:rPr>
          <w:rFonts w:ascii="Times New Roman" w:eastAsia="Times New Roman" w:hAnsi="Times New Roman" w:cs="Times New Roman"/>
          <w:sz w:val="20"/>
          <w:szCs w:val="20"/>
        </w:rPr>
      </w:pPr>
      <w:r w:rsidRPr="00126825">
        <w:rPr>
          <w:rFonts w:ascii="Times New Roman" w:eastAsia="Times New Roman" w:hAnsi="Times New Roman" w:cs="Times New Roman"/>
          <w:sz w:val="20"/>
          <w:szCs w:val="20"/>
        </w:rPr>
        <w:t xml:space="preserve">Mandate Differentiated Instruction Training: The State Ministry of Education should partner with teacher training institutions to develop and deliver compulsory professional development on differentiated instruction, grounded in the </w:t>
      </w:r>
      <w:r w:rsidRPr="00126825">
        <w:rPr>
          <w:rFonts w:ascii="Times New Roman" w:eastAsia="Times New Roman" w:hAnsi="Times New Roman" w:cs="Times New Roman"/>
          <w:sz w:val="20"/>
          <w:szCs w:val="20"/>
        </w:rPr>
        <w:lastRenderedPageBreak/>
        <w:t>Phonological Processing Theory. This training would provide teachers with a toolkit of strategies to identify and support the varied phonological processing profiles in their classrooms, from memory aids to fluency-building exercises.</w:t>
      </w:r>
    </w:p>
    <w:p w14:paraId="6AFC4F0E" w14:textId="77777777" w:rsidR="00126825" w:rsidRDefault="007C72FA" w:rsidP="00126825">
      <w:pPr>
        <w:pStyle w:val="ListParagraph"/>
        <w:numPr>
          <w:ilvl w:val="0"/>
          <w:numId w:val="41"/>
        </w:numPr>
        <w:ind w:leftChars="0" w:left="284" w:firstLineChars="0" w:hanging="284"/>
        <w:jc w:val="both"/>
        <w:rPr>
          <w:rFonts w:ascii="Times New Roman" w:eastAsia="Times New Roman" w:hAnsi="Times New Roman" w:cs="Times New Roman"/>
          <w:sz w:val="20"/>
          <w:szCs w:val="20"/>
        </w:rPr>
      </w:pPr>
      <w:r w:rsidRPr="00126825">
        <w:rPr>
          <w:rFonts w:ascii="Times New Roman" w:eastAsia="Times New Roman" w:hAnsi="Times New Roman" w:cs="Times New Roman"/>
          <w:sz w:val="20"/>
          <w:szCs w:val="20"/>
        </w:rPr>
        <w:t>Enact Supportive Policy Development: For sustainable change, policy must be aligned with evidence. It is recommended that the Ministry of Education revises the official curriculum to mandate the integration of foundational literacy skill development into the scheme of work for all junior secondary subjects. This policy shift would formalize the cross-curricular responsibility for literacy and guide resource allocation (Okoro, 2023).</w:t>
      </w:r>
    </w:p>
    <w:p w14:paraId="7989EC1A" w14:textId="0DFE2C75" w:rsidR="007C72FA" w:rsidRPr="00126825" w:rsidRDefault="007C72FA" w:rsidP="00126825">
      <w:pPr>
        <w:pStyle w:val="ListParagraph"/>
        <w:numPr>
          <w:ilvl w:val="0"/>
          <w:numId w:val="41"/>
        </w:numPr>
        <w:spacing w:after="0"/>
        <w:ind w:leftChars="0" w:left="284" w:firstLineChars="0" w:hanging="284"/>
        <w:jc w:val="both"/>
        <w:rPr>
          <w:rFonts w:ascii="Times New Roman" w:eastAsia="Times New Roman" w:hAnsi="Times New Roman" w:cs="Times New Roman"/>
          <w:sz w:val="20"/>
          <w:szCs w:val="20"/>
        </w:rPr>
      </w:pPr>
      <w:r w:rsidRPr="00126825">
        <w:rPr>
          <w:rFonts w:ascii="Times New Roman" w:eastAsia="Times New Roman" w:hAnsi="Times New Roman" w:cs="Times New Roman"/>
          <w:sz w:val="20"/>
          <w:szCs w:val="20"/>
        </w:rPr>
        <w:t>Foster a Culture of Evidence-Based Research: To build a more robust, local knowledge base, government agencies should partner with universities to fund further research. Priority should be given to longitudinal studies tracking student progress and intervention studies testing the efficacy of theory-driven literacy programs in STEM and social science subjects within Nigeria (Bala, 2023).</w:t>
      </w:r>
    </w:p>
    <w:p w14:paraId="7BD64D15" w14:textId="4216671A" w:rsidR="007C72FA" w:rsidRDefault="00126825" w:rsidP="00126825">
      <w:pPr>
        <w:spacing w:after="0"/>
        <w:ind w:left="0" w:hanging="2"/>
        <w:jc w:val="both"/>
        <w:rPr>
          <w:rFonts w:ascii="Times New Roman" w:eastAsia="Times New Roman" w:hAnsi="Times New Roman" w:cs="Times New Roman"/>
          <w:b/>
          <w:bCs/>
          <w:sz w:val="24"/>
          <w:szCs w:val="24"/>
        </w:rPr>
      </w:pPr>
      <w:r w:rsidRPr="00126825">
        <w:rPr>
          <w:rFonts w:ascii="Times New Roman" w:eastAsia="Times New Roman" w:hAnsi="Times New Roman" w:cs="Times New Roman"/>
          <w:b/>
          <w:bCs/>
          <w:sz w:val="24"/>
          <w:szCs w:val="24"/>
        </w:rPr>
        <w:t>Tribute</w:t>
      </w:r>
    </w:p>
    <w:p w14:paraId="3F5F6CBF" w14:textId="4ADBA125" w:rsidR="00126825" w:rsidRPr="00126825" w:rsidRDefault="00126825" w:rsidP="00126825">
      <w:pPr>
        <w:spacing w:after="0"/>
        <w:ind w:left="0" w:hanging="2"/>
        <w:jc w:val="both"/>
        <w:rPr>
          <w:rFonts w:ascii="Times New Roman" w:eastAsia="Times New Roman" w:hAnsi="Times New Roman" w:cs="Times New Roman"/>
          <w:b/>
          <w:bCs/>
          <w:sz w:val="24"/>
          <w:szCs w:val="24"/>
        </w:rPr>
      </w:pPr>
      <w:r w:rsidRPr="009F3E3E">
        <w:rPr>
          <w:rFonts w:ascii="Times New Roman" w:eastAsia="Times New Roman" w:hAnsi="Times New Roman" w:cs="Times New Roman"/>
          <w:sz w:val="20"/>
          <w:szCs w:val="20"/>
        </w:rPr>
        <w:t xml:space="preserve">This research resonates deeply with the symposium’s theme, “Celebrating a Legacy of Scholarship, Mentorship, and Academic Leadership.” It stands as a direct tribute to the pioneering spirit of scholars like Professor Sadiq Mohammed, whose career has brilliantly bridged the gap between linguistic theory and classroom practice in Nigeria. In the spirit of Professor Mohammed’s mentorship, this study has applied a robust theoretical framework to illuminate a critical pathway and a significant obstacle to learning. We </w:t>
      </w:r>
      <w:proofErr w:type="spellStart"/>
      <w:r w:rsidRPr="009F3E3E">
        <w:rPr>
          <w:rFonts w:ascii="Times New Roman" w:eastAsia="Times New Roman" w:hAnsi="Times New Roman" w:cs="Times New Roman"/>
          <w:sz w:val="20"/>
          <w:szCs w:val="20"/>
        </w:rPr>
        <w:t>honour</w:t>
      </w:r>
      <w:proofErr w:type="spellEnd"/>
      <w:r w:rsidRPr="009F3E3E">
        <w:rPr>
          <w:rFonts w:ascii="Times New Roman" w:eastAsia="Times New Roman" w:hAnsi="Times New Roman" w:cs="Times New Roman"/>
          <w:sz w:val="20"/>
          <w:szCs w:val="20"/>
        </w:rPr>
        <w:t xml:space="preserve"> the legacy of such academic leaders not only by remembering their contributions but by building upon them, using the tools of scholarship to forge tangible, empowering strategies for the next generation. It is through this continuous cycle of theoretical application and practical problem-solving that their legacy truly endures.</w:t>
      </w:r>
    </w:p>
    <w:p w14:paraId="7B0C0F51" w14:textId="77777777" w:rsidR="007C72FA" w:rsidRPr="00126825" w:rsidRDefault="007C72FA" w:rsidP="00126825">
      <w:pPr>
        <w:spacing w:after="0"/>
        <w:ind w:left="0" w:hanging="2"/>
        <w:jc w:val="both"/>
        <w:rPr>
          <w:rFonts w:ascii="Times New Roman" w:eastAsia="Times New Roman" w:hAnsi="Times New Roman" w:cs="Times New Roman"/>
          <w:sz w:val="24"/>
          <w:szCs w:val="24"/>
        </w:rPr>
      </w:pPr>
      <w:r w:rsidRPr="00126825">
        <w:rPr>
          <w:rFonts w:ascii="Times New Roman" w:eastAsia="Times New Roman" w:hAnsi="Times New Roman" w:cs="Times New Roman"/>
          <w:b/>
          <w:sz w:val="24"/>
          <w:szCs w:val="24"/>
        </w:rPr>
        <w:t>References</w:t>
      </w:r>
    </w:p>
    <w:p w14:paraId="18B48985" w14:textId="77777777" w:rsidR="007C72FA" w:rsidRPr="009F3E3E" w:rsidRDefault="007C72FA" w:rsidP="00126825">
      <w:pPr>
        <w:spacing w:after="0" w:line="240" w:lineRule="auto"/>
        <w:ind w:left="698" w:hangingChars="350" w:hanging="700"/>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 xml:space="preserve">Abubakar, S. (2023). Reading fluency as a predictor of academic performance in Social Studies among JSS II students in Kano State. </w:t>
      </w:r>
      <w:r w:rsidRPr="009F3E3E">
        <w:rPr>
          <w:rFonts w:ascii="Times New Roman" w:eastAsia="Times New Roman" w:hAnsi="Times New Roman" w:cs="Times New Roman"/>
          <w:i/>
          <w:iCs/>
          <w:sz w:val="20"/>
          <w:szCs w:val="20"/>
        </w:rPr>
        <w:t>Nigerian Journal of Social Studies</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
          <w:iCs/>
          <w:sz w:val="20"/>
          <w:szCs w:val="20"/>
        </w:rPr>
        <w:t>26</w:t>
      </w:r>
      <w:r w:rsidRPr="009F3E3E">
        <w:rPr>
          <w:rFonts w:ascii="Times New Roman" w:eastAsia="Times New Roman" w:hAnsi="Times New Roman" w:cs="Times New Roman"/>
          <w:sz w:val="20"/>
          <w:szCs w:val="20"/>
        </w:rPr>
        <w:t>(1), 45–60.</w:t>
      </w:r>
    </w:p>
    <w:p w14:paraId="610C7DDE" w14:textId="77777777" w:rsidR="007C72FA" w:rsidRPr="009F3E3E" w:rsidRDefault="007C72FA" w:rsidP="00126825">
      <w:pPr>
        <w:spacing w:after="0" w:line="240" w:lineRule="auto"/>
        <w:ind w:left="698" w:hangingChars="350" w:hanging="700"/>
        <w:jc w:val="both"/>
        <w:rPr>
          <w:rFonts w:ascii="Times New Roman" w:eastAsia="Times New Roman" w:hAnsi="Times New Roman" w:cs="Times New Roman"/>
          <w:sz w:val="20"/>
          <w:szCs w:val="20"/>
        </w:rPr>
      </w:pPr>
      <w:proofErr w:type="spellStart"/>
      <w:r w:rsidRPr="009F3E3E">
        <w:rPr>
          <w:rFonts w:ascii="Times New Roman" w:eastAsia="Times New Roman" w:hAnsi="Times New Roman" w:cs="Times New Roman"/>
          <w:sz w:val="20"/>
          <w:szCs w:val="20"/>
        </w:rPr>
        <w:t>Adekanye</w:t>
      </w:r>
      <w:proofErr w:type="spellEnd"/>
      <w:r w:rsidRPr="009F3E3E">
        <w:rPr>
          <w:rFonts w:ascii="Times New Roman" w:eastAsia="Times New Roman" w:hAnsi="Times New Roman" w:cs="Times New Roman"/>
          <w:sz w:val="20"/>
          <w:szCs w:val="20"/>
        </w:rPr>
        <w:t xml:space="preserve">, R. (2022). Phonological processing skills and English literacy achievement: A study of Nigerian primary school pupils. </w:t>
      </w:r>
      <w:r w:rsidRPr="009F3E3E">
        <w:rPr>
          <w:rFonts w:ascii="Times New Roman" w:eastAsia="Times New Roman" w:hAnsi="Times New Roman" w:cs="Times New Roman"/>
          <w:i/>
          <w:iCs/>
          <w:sz w:val="20"/>
          <w:szCs w:val="20"/>
        </w:rPr>
        <w:t>Ife Journal of Educational Studies</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
          <w:iCs/>
          <w:sz w:val="20"/>
          <w:szCs w:val="20"/>
        </w:rPr>
        <w:t>18</w:t>
      </w:r>
      <w:r w:rsidRPr="009F3E3E">
        <w:rPr>
          <w:rFonts w:ascii="Times New Roman" w:eastAsia="Times New Roman" w:hAnsi="Times New Roman" w:cs="Times New Roman"/>
          <w:sz w:val="20"/>
          <w:szCs w:val="20"/>
        </w:rPr>
        <w:t>(2), 112–128.</w:t>
      </w:r>
    </w:p>
    <w:p w14:paraId="3745A396" w14:textId="77777777" w:rsidR="007C72FA" w:rsidRPr="009F3E3E" w:rsidRDefault="007C72FA" w:rsidP="00126825">
      <w:pPr>
        <w:spacing w:after="0" w:line="240" w:lineRule="auto"/>
        <w:ind w:left="698" w:hangingChars="350" w:hanging="700"/>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 xml:space="preserve">Adeniji, M. (2023). The language barrier in STEM education in Nigeria: A review. </w:t>
      </w:r>
      <w:r w:rsidRPr="009F3E3E">
        <w:rPr>
          <w:rFonts w:ascii="Times New Roman" w:eastAsia="Times New Roman" w:hAnsi="Times New Roman" w:cs="Times New Roman"/>
          <w:i/>
          <w:iCs/>
          <w:sz w:val="20"/>
          <w:szCs w:val="20"/>
        </w:rPr>
        <w:t>African Journal of Educational Research and Development</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
          <w:iCs/>
          <w:sz w:val="20"/>
          <w:szCs w:val="20"/>
        </w:rPr>
        <w:t>15</w:t>
      </w:r>
      <w:r w:rsidRPr="009F3E3E">
        <w:rPr>
          <w:rFonts w:ascii="Times New Roman" w:eastAsia="Times New Roman" w:hAnsi="Times New Roman" w:cs="Times New Roman"/>
          <w:sz w:val="20"/>
          <w:szCs w:val="20"/>
        </w:rPr>
        <w:t>(3), 88–102.</w:t>
      </w:r>
    </w:p>
    <w:p w14:paraId="05A18797" w14:textId="77777777" w:rsidR="007C72FA" w:rsidRPr="009F3E3E" w:rsidRDefault="007C72FA" w:rsidP="00126825">
      <w:pPr>
        <w:spacing w:after="0" w:line="240" w:lineRule="auto"/>
        <w:ind w:left="698" w:hangingChars="350" w:hanging="700"/>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 xml:space="preserve">Bala, H. (2023). Linguistic diversity and educational equity in Northern Nigeria: Challenges and prospects. </w:t>
      </w:r>
      <w:r w:rsidRPr="009F3E3E">
        <w:rPr>
          <w:rFonts w:ascii="Times New Roman" w:eastAsia="Times New Roman" w:hAnsi="Times New Roman" w:cs="Times New Roman"/>
          <w:i/>
          <w:iCs/>
          <w:sz w:val="20"/>
          <w:szCs w:val="20"/>
        </w:rPr>
        <w:t>Zaria Journal of Educational Studies</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
          <w:iCs/>
          <w:sz w:val="20"/>
          <w:szCs w:val="20"/>
        </w:rPr>
        <w:t>12</w:t>
      </w:r>
      <w:r w:rsidRPr="009F3E3E">
        <w:rPr>
          <w:rFonts w:ascii="Times New Roman" w:eastAsia="Times New Roman" w:hAnsi="Times New Roman" w:cs="Times New Roman"/>
          <w:sz w:val="20"/>
          <w:szCs w:val="20"/>
        </w:rPr>
        <w:t>(1), 33–49.</w:t>
      </w:r>
    </w:p>
    <w:p w14:paraId="20DB5405" w14:textId="77777777" w:rsidR="007C72FA" w:rsidRPr="009F3E3E" w:rsidRDefault="007C72FA" w:rsidP="00126825">
      <w:pPr>
        <w:spacing w:after="0" w:line="240" w:lineRule="auto"/>
        <w:ind w:left="698" w:hangingChars="350" w:hanging="700"/>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 xml:space="preserve">Bello, T. (2022). The washback effect of high-stakes testing on English language teaching in Nigeria. </w:t>
      </w:r>
      <w:r w:rsidRPr="009F3E3E">
        <w:rPr>
          <w:rFonts w:ascii="Times New Roman" w:eastAsia="Times New Roman" w:hAnsi="Times New Roman" w:cs="Times New Roman"/>
          <w:i/>
          <w:iCs/>
          <w:sz w:val="20"/>
          <w:szCs w:val="20"/>
        </w:rPr>
        <w:t>Language Testing in Africa</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
          <w:iCs/>
          <w:sz w:val="20"/>
          <w:szCs w:val="20"/>
        </w:rPr>
        <w:t>4</w:t>
      </w:r>
      <w:r w:rsidRPr="009F3E3E">
        <w:rPr>
          <w:rFonts w:ascii="Times New Roman" w:eastAsia="Times New Roman" w:hAnsi="Times New Roman" w:cs="Times New Roman"/>
          <w:sz w:val="20"/>
          <w:szCs w:val="20"/>
        </w:rPr>
        <w:t>(1), 88–105.</w:t>
      </w:r>
    </w:p>
    <w:p w14:paraId="19330515" w14:textId="77777777" w:rsidR="007C72FA" w:rsidRPr="009F3E3E" w:rsidRDefault="007C72FA" w:rsidP="00126825">
      <w:pPr>
        <w:spacing w:after="0" w:line="240" w:lineRule="auto"/>
        <w:ind w:left="698" w:hangingChars="350" w:hanging="700"/>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 xml:space="preserve">Eze, N. (2024). Scientific literacy and conceptual understanding in Nigerian junior secondary schools. </w:t>
      </w:r>
      <w:r w:rsidRPr="009F3E3E">
        <w:rPr>
          <w:rFonts w:ascii="Times New Roman" w:eastAsia="Times New Roman" w:hAnsi="Times New Roman" w:cs="Times New Roman"/>
          <w:i/>
          <w:iCs/>
          <w:sz w:val="20"/>
          <w:szCs w:val="20"/>
        </w:rPr>
        <w:t>Journal of Science Education and Practice</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
          <w:iCs/>
          <w:sz w:val="20"/>
          <w:szCs w:val="20"/>
        </w:rPr>
        <w:t>9</w:t>
      </w:r>
      <w:r w:rsidRPr="009F3E3E">
        <w:rPr>
          <w:rFonts w:ascii="Times New Roman" w:eastAsia="Times New Roman" w:hAnsi="Times New Roman" w:cs="Times New Roman"/>
          <w:sz w:val="20"/>
          <w:szCs w:val="20"/>
        </w:rPr>
        <w:t>(1), 77–95.</w:t>
      </w:r>
    </w:p>
    <w:p w14:paraId="5556B21F" w14:textId="77777777" w:rsidR="007C72FA" w:rsidRPr="009F3E3E" w:rsidRDefault="007C72FA" w:rsidP="00126825">
      <w:pPr>
        <w:spacing w:after="0" w:line="240" w:lineRule="auto"/>
        <w:ind w:left="698" w:hangingChars="350" w:hanging="700"/>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 xml:space="preserve">Jimoh, L. (2023). Metalinguistic awareness and its impact on second language writing skills in a multilingual context. </w:t>
      </w:r>
      <w:r w:rsidRPr="009F3E3E">
        <w:rPr>
          <w:rFonts w:ascii="Times New Roman" w:eastAsia="Times New Roman" w:hAnsi="Times New Roman" w:cs="Times New Roman"/>
          <w:i/>
          <w:iCs/>
          <w:sz w:val="20"/>
          <w:szCs w:val="20"/>
        </w:rPr>
        <w:t>Journal of Language and Linguistics</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
          <w:iCs/>
          <w:sz w:val="20"/>
          <w:szCs w:val="20"/>
        </w:rPr>
        <w:t>17</w:t>
      </w:r>
      <w:r w:rsidRPr="009F3E3E">
        <w:rPr>
          <w:rFonts w:ascii="Times New Roman" w:eastAsia="Times New Roman" w:hAnsi="Times New Roman" w:cs="Times New Roman"/>
          <w:sz w:val="20"/>
          <w:szCs w:val="20"/>
        </w:rPr>
        <w:t>(2), 55–72.</w:t>
      </w:r>
    </w:p>
    <w:p w14:paraId="79FC31A4" w14:textId="77777777" w:rsidR="007C72FA" w:rsidRPr="009F3E3E" w:rsidRDefault="007C72FA" w:rsidP="00126825">
      <w:pPr>
        <w:spacing w:after="0" w:line="240" w:lineRule="auto"/>
        <w:ind w:left="698" w:hangingChars="350" w:hanging="700"/>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 xml:space="preserve">Mohammed, A., &amp; Ibro, G. (2024). In-service training and teacher efficacy in implementing the communicative English curriculum in North-Eastern Nigeria. </w:t>
      </w:r>
      <w:r w:rsidRPr="009F3E3E">
        <w:rPr>
          <w:rFonts w:ascii="Times New Roman" w:eastAsia="Times New Roman" w:hAnsi="Times New Roman" w:cs="Times New Roman"/>
          <w:i/>
          <w:iCs/>
          <w:sz w:val="20"/>
          <w:szCs w:val="20"/>
        </w:rPr>
        <w:t>Journal of Teacher Development</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
          <w:iCs/>
          <w:sz w:val="20"/>
          <w:szCs w:val="20"/>
        </w:rPr>
        <w:t>28</w:t>
      </w:r>
      <w:r w:rsidRPr="009F3E3E">
        <w:rPr>
          <w:rFonts w:ascii="Times New Roman" w:eastAsia="Times New Roman" w:hAnsi="Times New Roman" w:cs="Times New Roman"/>
          <w:sz w:val="20"/>
          <w:szCs w:val="20"/>
        </w:rPr>
        <w:t>(3), 145–162.</w:t>
      </w:r>
    </w:p>
    <w:p w14:paraId="5B094D5F" w14:textId="77777777" w:rsidR="007C72FA" w:rsidRPr="009F3E3E" w:rsidRDefault="007C72FA" w:rsidP="00126825">
      <w:pPr>
        <w:spacing w:after="0" w:line="240" w:lineRule="auto"/>
        <w:ind w:left="698" w:hangingChars="350" w:hanging="700"/>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 xml:space="preserve">Okoro, C. (2023). Resource availability and the implementation of English language curriculum in public secondary schools in Southern Nigeria. </w:t>
      </w:r>
      <w:r w:rsidRPr="009F3E3E">
        <w:rPr>
          <w:rFonts w:ascii="Times New Roman" w:eastAsia="Times New Roman" w:hAnsi="Times New Roman" w:cs="Times New Roman"/>
          <w:i/>
          <w:iCs/>
          <w:sz w:val="20"/>
          <w:szCs w:val="20"/>
        </w:rPr>
        <w:t>Nigerian Journal of Educational Research and Evaluation</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
          <w:iCs/>
          <w:sz w:val="20"/>
          <w:szCs w:val="20"/>
        </w:rPr>
        <w:t>22</w:t>
      </w:r>
      <w:r w:rsidRPr="009F3E3E">
        <w:rPr>
          <w:rFonts w:ascii="Times New Roman" w:eastAsia="Times New Roman" w:hAnsi="Times New Roman" w:cs="Times New Roman"/>
          <w:sz w:val="20"/>
          <w:szCs w:val="20"/>
        </w:rPr>
        <w:t>(1), 33–49.</w:t>
      </w:r>
    </w:p>
    <w:p w14:paraId="0EEA2BD4" w14:textId="77777777" w:rsidR="007C72FA" w:rsidRPr="009F3E3E" w:rsidRDefault="007C72FA" w:rsidP="00126825">
      <w:pPr>
        <w:spacing w:after="0" w:line="240" w:lineRule="auto"/>
        <w:ind w:left="698" w:hangingChars="350" w:hanging="700"/>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 xml:space="preserve">Oyetunji, C. (2022). Vocabulary knowledge and academic achievement in content-area subjects: The Nigerian junior secondary school experience. </w:t>
      </w:r>
      <w:r w:rsidRPr="009F3E3E">
        <w:rPr>
          <w:rFonts w:ascii="Times New Roman" w:eastAsia="Times New Roman" w:hAnsi="Times New Roman" w:cs="Times New Roman"/>
          <w:i/>
          <w:iCs/>
          <w:sz w:val="20"/>
          <w:szCs w:val="20"/>
        </w:rPr>
        <w:t>International Journal of Education and Literacy Studies</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
          <w:iCs/>
          <w:sz w:val="20"/>
          <w:szCs w:val="20"/>
        </w:rPr>
        <w:t>10</w:t>
      </w:r>
      <w:r w:rsidRPr="009F3E3E">
        <w:rPr>
          <w:rFonts w:ascii="Times New Roman" w:eastAsia="Times New Roman" w:hAnsi="Times New Roman" w:cs="Times New Roman"/>
          <w:sz w:val="20"/>
          <w:szCs w:val="20"/>
        </w:rPr>
        <w:t>(4), 145–158.</w:t>
      </w:r>
    </w:p>
    <w:p w14:paraId="48A01039" w14:textId="77777777" w:rsidR="007C72FA" w:rsidRPr="009F3E3E" w:rsidRDefault="007C72FA" w:rsidP="00126825">
      <w:pPr>
        <w:spacing w:after="0" w:line="240" w:lineRule="auto"/>
        <w:ind w:left="698" w:hangingChars="350" w:hanging="700"/>
        <w:jc w:val="both"/>
        <w:rPr>
          <w:rFonts w:ascii="Times New Roman" w:eastAsia="Times New Roman" w:hAnsi="Times New Roman" w:cs="Times New Roman"/>
          <w:sz w:val="20"/>
          <w:szCs w:val="20"/>
        </w:rPr>
      </w:pPr>
      <w:proofErr w:type="spellStart"/>
      <w:r w:rsidRPr="009F3E3E">
        <w:rPr>
          <w:rFonts w:ascii="Times New Roman" w:eastAsia="Times New Roman" w:hAnsi="Times New Roman" w:cs="Times New Roman"/>
          <w:sz w:val="20"/>
          <w:szCs w:val="20"/>
        </w:rPr>
        <w:t>Sweller</w:t>
      </w:r>
      <w:proofErr w:type="spellEnd"/>
      <w:r w:rsidRPr="009F3E3E">
        <w:rPr>
          <w:rFonts w:ascii="Times New Roman" w:eastAsia="Times New Roman" w:hAnsi="Times New Roman" w:cs="Times New Roman"/>
          <w:sz w:val="20"/>
          <w:szCs w:val="20"/>
        </w:rPr>
        <w:t xml:space="preserve">, J. (1988). Cognitive load during problem solving: Effects on learning. </w:t>
      </w:r>
      <w:r w:rsidRPr="009F3E3E">
        <w:rPr>
          <w:rFonts w:ascii="Times New Roman" w:eastAsia="Times New Roman" w:hAnsi="Times New Roman" w:cs="Times New Roman"/>
          <w:i/>
          <w:iCs/>
          <w:sz w:val="20"/>
          <w:szCs w:val="20"/>
        </w:rPr>
        <w:t>Cognitive Science</w:t>
      </w:r>
      <w:r w:rsidRPr="009F3E3E">
        <w:rPr>
          <w:rFonts w:ascii="Times New Roman" w:eastAsia="Times New Roman" w:hAnsi="Times New Roman" w:cs="Times New Roman"/>
          <w:sz w:val="20"/>
          <w:szCs w:val="20"/>
        </w:rPr>
        <w:t xml:space="preserve">, </w:t>
      </w:r>
      <w:r w:rsidRPr="009F3E3E">
        <w:rPr>
          <w:rFonts w:ascii="Times New Roman" w:eastAsia="Times New Roman" w:hAnsi="Times New Roman" w:cs="Times New Roman"/>
          <w:i/>
          <w:iCs/>
          <w:sz w:val="20"/>
          <w:szCs w:val="20"/>
        </w:rPr>
        <w:t>12</w:t>
      </w:r>
      <w:r w:rsidRPr="009F3E3E">
        <w:rPr>
          <w:rFonts w:ascii="Times New Roman" w:eastAsia="Times New Roman" w:hAnsi="Times New Roman" w:cs="Times New Roman"/>
          <w:sz w:val="20"/>
          <w:szCs w:val="20"/>
        </w:rPr>
        <w:t>(2), 257–285.</w:t>
      </w:r>
    </w:p>
    <w:p w14:paraId="32617734" w14:textId="771B292C" w:rsidR="007C72FA" w:rsidRPr="009F3E3E" w:rsidRDefault="007C72FA" w:rsidP="009C7602">
      <w:pPr>
        <w:spacing w:after="0" w:line="240" w:lineRule="auto"/>
        <w:ind w:left="698" w:hangingChars="350" w:hanging="700"/>
        <w:jc w:val="both"/>
        <w:rPr>
          <w:rFonts w:ascii="Times New Roman" w:eastAsia="Times New Roman" w:hAnsi="Times New Roman" w:cs="Times New Roman"/>
          <w:sz w:val="20"/>
          <w:szCs w:val="20"/>
        </w:rPr>
      </w:pPr>
      <w:r w:rsidRPr="009F3E3E">
        <w:rPr>
          <w:rFonts w:ascii="Times New Roman" w:eastAsia="Times New Roman" w:hAnsi="Times New Roman" w:cs="Times New Roman"/>
          <w:sz w:val="20"/>
          <w:szCs w:val="20"/>
        </w:rPr>
        <w:t xml:space="preserve">Torgesen, J. K., &amp; Wagner, R. K. (1987). The phonological processing theory of reading disabilities. In J. B. McCawley &amp; J. Torgesen (Eds.), </w:t>
      </w:r>
      <w:r w:rsidRPr="009F3E3E">
        <w:rPr>
          <w:rFonts w:ascii="Times New Roman" w:eastAsia="Times New Roman" w:hAnsi="Times New Roman" w:cs="Times New Roman"/>
          <w:i/>
          <w:iCs/>
          <w:sz w:val="20"/>
          <w:szCs w:val="20"/>
        </w:rPr>
        <w:t>Central issues in learning disabilities</w:t>
      </w:r>
      <w:r w:rsidRPr="009F3E3E">
        <w:rPr>
          <w:rFonts w:ascii="Times New Roman" w:eastAsia="Times New Roman" w:hAnsi="Times New Roman" w:cs="Times New Roman"/>
          <w:sz w:val="20"/>
          <w:szCs w:val="20"/>
        </w:rPr>
        <w:t xml:space="preserve"> (pp. 135–158). Academic Press.</w:t>
      </w:r>
    </w:p>
    <w:p w14:paraId="6A9632CE" w14:textId="559C86CD" w:rsidR="000B6683" w:rsidRPr="009F3E3E" w:rsidRDefault="000B6683" w:rsidP="009F3E3E">
      <w:pPr>
        <w:ind w:left="0" w:hanging="2"/>
        <w:rPr>
          <w:rFonts w:ascii="Times New Roman" w:hAnsi="Times New Roman" w:cs="Times New Roman"/>
          <w:sz w:val="20"/>
          <w:szCs w:val="20"/>
        </w:rPr>
      </w:pPr>
    </w:p>
    <w:p w14:paraId="0228E378" w14:textId="77777777" w:rsidR="00F70055" w:rsidRPr="009F3E3E" w:rsidRDefault="00F70055">
      <w:pPr>
        <w:ind w:left="0" w:hanging="2"/>
        <w:rPr>
          <w:rFonts w:ascii="Times New Roman" w:hAnsi="Times New Roman" w:cs="Times New Roman"/>
          <w:sz w:val="20"/>
          <w:szCs w:val="20"/>
        </w:rPr>
      </w:pPr>
    </w:p>
    <w:sectPr w:rsidR="00F70055" w:rsidRPr="009F3E3E" w:rsidSect="00482226">
      <w:headerReference w:type="even" r:id="rId9"/>
      <w:headerReference w:type="default" r:id="rId10"/>
      <w:footerReference w:type="even" r:id="rId11"/>
      <w:footerReference w:type="default" r:id="rId12"/>
      <w:headerReference w:type="first" r:id="rId13"/>
      <w:footerReference w:type="first" r:id="rId14"/>
      <w:pgSz w:w="11906" w:h="16838" w:code="9"/>
      <w:pgMar w:top="1440" w:right="720" w:bottom="1440" w:left="1440" w:header="360" w:footer="720" w:gutter="0"/>
      <w:pgNumType w:start="24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A47498" w14:textId="77777777" w:rsidR="00096C1D" w:rsidRDefault="00096C1D">
      <w:pPr>
        <w:spacing w:after="0" w:line="240" w:lineRule="auto"/>
        <w:ind w:left="0" w:hanging="2"/>
      </w:pPr>
      <w:r>
        <w:separator/>
      </w:r>
    </w:p>
  </w:endnote>
  <w:endnote w:type="continuationSeparator" w:id="0">
    <w:p w14:paraId="741FFF59" w14:textId="77777777" w:rsidR="00096C1D" w:rsidRDefault="00096C1D">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ew times Roman">
    <w:altName w:val="Times New Roman"/>
    <w:panose1 w:val="00000000000000000000"/>
    <w:charset w:val="00"/>
    <w:family w:val="roman"/>
    <w:notTrueType/>
    <w:pitch w:val="default"/>
  </w:font>
  <w:font w:name="Apple Chancery">
    <w:panose1 w:val="030207020405060605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DFA02" w14:textId="77777777" w:rsidR="008A50F8" w:rsidRDefault="008A50F8">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FC8BF" w14:textId="77777777" w:rsidR="008A50F8" w:rsidRDefault="00783557">
    <w:pPr>
      <w:pBdr>
        <w:top w:val="single" w:sz="4" w:space="1" w:color="000000"/>
        <w:left w:val="single" w:sz="4" w:space="4" w:color="000000"/>
        <w:bottom w:val="single" w:sz="4" w:space="1" w:color="000000"/>
        <w:right w:val="single" w:sz="4" w:space="4" w:color="000000"/>
      </w:pBdr>
      <w:shd w:val="clear" w:color="auto" w:fill="BFBFBF"/>
      <w:tabs>
        <w:tab w:val="center" w:pos="4680"/>
        <w:tab w:val="right" w:pos="9360"/>
      </w:tabs>
      <w:ind w:leftChars="0" w:left="0" w:firstLineChars="0" w:firstLine="0"/>
      <w:jc w:val="center"/>
    </w:pPr>
    <w:r>
      <w:rPr>
        <w:rFonts w:ascii="Cambria" w:eastAsia="Cambria" w:hAnsi="Cambria" w:cs="Cambria"/>
        <w:sz w:val="20"/>
        <w:szCs w:val="20"/>
      </w:rPr>
      <w:fldChar w:fldCharType="begin"/>
    </w:r>
    <w:r>
      <w:rPr>
        <w:rFonts w:ascii="Cambria" w:eastAsia="Cambria" w:hAnsi="Cambria" w:cs="Cambria"/>
        <w:sz w:val="20"/>
        <w:szCs w:val="20"/>
      </w:rPr>
      <w:instrText>PAGE</w:instrText>
    </w:r>
    <w:r>
      <w:rPr>
        <w:rFonts w:ascii="Cambria" w:eastAsia="Cambria" w:hAnsi="Cambria" w:cs="Cambria"/>
        <w:sz w:val="20"/>
        <w:szCs w:val="20"/>
      </w:rPr>
      <w:fldChar w:fldCharType="separate"/>
    </w:r>
    <w:r w:rsidR="001E5118">
      <w:rPr>
        <w:rFonts w:ascii="Cambria" w:eastAsia="Cambria" w:hAnsi="Cambria" w:cs="Cambria"/>
        <w:noProof/>
        <w:sz w:val="20"/>
        <w:szCs w:val="20"/>
      </w:rPr>
      <w:t>1</w:t>
    </w:r>
    <w:r>
      <w:rPr>
        <w:rFonts w:ascii="Cambria" w:eastAsia="Cambria" w:hAnsi="Cambria" w:cs="Cambria"/>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FA4DF" w14:textId="77777777" w:rsidR="00F40D65" w:rsidRDefault="00F40D65">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6EF1D4" w14:textId="77777777" w:rsidR="00096C1D" w:rsidRDefault="00096C1D">
      <w:pPr>
        <w:spacing w:after="0" w:line="240" w:lineRule="auto"/>
        <w:ind w:left="0" w:hanging="2"/>
      </w:pPr>
      <w:r>
        <w:separator/>
      </w:r>
    </w:p>
  </w:footnote>
  <w:footnote w:type="continuationSeparator" w:id="0">
    <w:p w14:paraId="41F5EA2D" w14:textId="77777777" w:rsidR="00096C1D" w:rsidRDefault="00096C1D">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D62D8" w14:textId="77777777" w:rsidR="008A50F8" w:rsidRDefault="008A50F8">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2941C" w14:textId="77777777" w:rsidR="008A50F8" w:rsidRDefault="00783557">
    <w:pPr>
      <w:tabs>
        <w:tab w:val="center" w:pos="4513"/>
        <w:tab w:val="right" w:pos="9026"/>
        <w:tab w:val="right" w:pos="9356"/>
      </w:tabs>
      <w:spacing w:after="0" w:line="240" w:lineRule="auto"/>
      <w:ind w:left="0" w:hanging="2"/>
      <w:jc w:val="right"/>
      <w:rPr>
        <w:sz w:val="20"/>
        <w:szCs w:val="20"/>
      </w:rPr>
    </w:pPr>
    <w:r>
      <w:rPr>
        <w:sz w:val="20"/>
        <w:szCs w:val="20"/>
      </w:rPr>
      <w:t xml:space="preserve"> </w:t>
    </w:r>
  </w:p>
  <w:tbl>
    <w:tblPr>
      <w:tblW w:w="10601" w:type="dxa"/>
      <w:tblInd w:w="-615" w:type="dxa"/>
      <w:tblLook w:val="04A0" w:firstRow="1" w:lastRow="0" w:firstColumn="1" w:lastColumn="0" w:noHBand="0" w:noVBand="1"/>
    </w:tblPr>
    <w:tblGrid>
      <w:gridCol w:w="8089"/>
      <w:gridCol w:w="2512"/>
    </w:tblGrid>
    <w:tr w:rsidR="008A50F8" w14:paraId="5E17BCCC" w14:textId="77777777" w:rsidTr="000A74FD">
      <w:trPr>
        <w:trHeight w:val="1156"/>
      </w:trPr>
      <w:tc>
        <w:tcPr>
          <w:tcW w:w="8089" w:type="dxa"/>
        </w:tcPr>
        <w:p w14:paraId="2508CA51" w14:textId="77777777" w:rsidR="008A50F8" w:rsidRDefault="00783557">
          <w:pPr>
            <w:pStyle w:val="Header"/>
            <w:spacing w:after="0" w:line="240" w:lineRule="auto"/>
            <w:ind w:left="0" w:hanging="2"/>
            <w:jc w:val="right"/>
            <w:rPr>
              <w:rFonts w:ascii="Times New Roman" w:hAnsi="Times New Roman" w:cs="Times New Roman"/>
              <w:b/>
              <w:bCs/>
              <w:sz w:val="20"/>
              <w:szCs w:val="20"/>
            </w:rPr>
          </w:pPr>
          <w:r>
            <w:rPr>
              <w:rFonts w:ascii="Times New Roman" w:hAnsi="Times New Roman" w:cs="Times New Roman"/>
              <w:b/>
              <w:bCs/>
              <w:sz w:val="20"/>
              <w:szCs w:val="20"/>
            </w:rPr>
            <w:t>Zamfara International Journal of Education (ZIJE)</w:t>
          </w:r>
        </w:p>
        <w:p w14:paraId="5D465E97" w14:textId="77777777" w:rsidR="008A50F8" w:rsidRDefault="00783557">
          <w:pPr>
            <w:pStyle w:val="Header"/>
            <w:spacing w:after="0" w:line="240" w:lineRule="auto"/>
            <w:ind w:left="0" w:hanging="2"/>
            <w:jc w:val="right"/>
            <w:rPr>
              <w:rFonts w:ascii="Times New Roman" w:hAnsi="Times New Roman" w:cs="Times New Roman"/>
              <w:b/>
              <w:bCs/>
              <w:sz w:val="20"/>
              <w:szCs w:val="20"/>
            </w:rPr>
          </w:pPr>
          <w:r>
            <w:rPr>
              <w:rFonts w:ascii="Times New Roman" w:hAnsi="Times New Roman" w:cs="Times New Roman"/>
              <w:b/>
              <w:bCs/>
              <w:sz w:val="20"/>
              <w:szCs w:val="20"/>
            </w:rPr>
            <w:t>The Official Journal of the Faculty of Education</w:t>
          </w:r>
        </w:p>
        <w:p w14:paraId="6FA7A689" w14:textId="77777777" w:rsidR="008A50F8" w:rsidRDefault="00783557">
          <w:pPr>
            <w:pStyle w:val="Header"/>
            <w:spacing w:after="0" w:line="240" w:lineRule="auto"/>
            <w:ind w:left="0" w:hanging="2"/>
            <w:jc w:val="right"/>
            <w:rPr>
              <w:rFonts w:ascii="Times New Roman" w:hAnsi="Times New Roman" w:cs="Times New Roman"/>
              <w:b/>
              <w:bCs/>
              <w:sz w:val="20"/>
              <w:szCs w:val="20"/>
            </w:rPr>
          </w:pPr>
          <w:r>
            <w:rPr>
              <w:rFonts w:ascii="Times New Roman" w:hAnsi="Times New Roman" w:cs="Times New Roman"/>
              <w:b/>
              <w:bCs/>
              <w:sz w:val="20"/>
              <w:szCs w:val="20"/>
            </w:rPr>
            <w:t>Federal University Gusau, Zamfara State, Nigeria</w:t>
          </w:r>
        </w:p>
        <w:p w14:paraId="28EA676D" w14:textId="02DBB8EA" w:rsidR="00C86BBC" w:rsidRDefault="00033562" w:rsidP="00C86BBC">
          <w:pPr>
            <w:pStyle w:val="Header"/>
            <w:spacing w:after="0" w:line="240" w:lineRule="auto"/>
            <w:ind w:left="0" w:hanging="2"/>
            <w:jc w:val="right"/>
            <w:rPr>
              <w:rFonts w:ascii="Times New Roman" w:hAnsi="Times New Roman" w:cs="Times New Roman"/>
              <w:b/>
              <w:bCs/>
              <w:sz w:val="20"/>
              <w:szCs w:val="20"/>
            </w:rPr>
          </w:pPr>
          <w:r>
            <w:rPr>
              <w:rFonts w:ascii="Times New Roman" w:hAnsi="Times New Roman" w:cs="Times New Roman"/>
              <w:b/>
              <w:bCs/>
              <w:sz w:val="20"/>
              <w:szCs w:val="20"/>
            </w:rPr>
            <w:t xml:space="preserve">Volume 6, Number </w:t>
          </w:r>
          <w:r w:rsidR="0035135A">
            <w:rPr>
              <w:rFonts w:ascii="Times New Roman" w:hAnsi="Times New Roman" w:cs="Times New Roman"/>
              <w:b/>
              <w:bCs/>
              <w:sz w:val="20"/>
              <w:szCs w:val="20"/>
            </w:rPr>
            <w:t>3</w:t>
          </w:r>
          <w:r>
            <w:rPr>
              <w:rFonts w:ascii="Times New Roman" w:hAnsi="Times New Roman" w:cs="Times New Roman"/>
              <w:b/>
              <w:bCs/>
              <w:sz w:val="20"/>
              <w:szCs w:val="20"/>
            </w:rPr>
            <w:t xml:space="preserve">, </w:t>
          </w:r>
          <w:r w:rsidR="0035135A">
            <w:rPr>
              <w:rFonts w:ascii="Times New Roman" w:hAnsi="Times New Roman" w:cs="Times New Roman"/>
              <w:b/>
              <w:bCs/>
              <w:sz w:val="20"/>
              <w:szCs w:val="20"/>
            </w:rPr>
            <w:t>April</w:t>
          </w:r>
          <w:r>
            <w:rPr>
              <w:rFonts w:ascii="Times New Roman" w:hAnsi="Times New Roman" w:cs="Times New Roman"/>
              <w:b/>
              <w:bCs/>
              <w:sz w:val="20"/>
              <w:szCs w:val="20"/>
            </w:rPr>
            <w:t>, 2026</w:t>
          </w:r>
        </w:p>
        <w:p w14:paraId="3A57661B" w14:textId="77777777" w:rsidR="008A50F8" w:rsidRDefault="00783557">
          <w:pPr>
            <w:pStyle w:val="Header"/>
            <w:spacing w:after="0" w:line="240" w:lineRule="auto"/>
            <w:ind w:left="0" w:hanging="2"/>
            <w:jc w:val="right"/>
            <w:rPr>
              <w:rFonts w:ascii="Times New Roman" w:hAnsi="Times New Roman" w:cs="Times New Roman"/>
              <w:sz w:val="20"/>
              <w:szCs w:val="20"/>
            </w:rPr>
          </w:pPr>
          <w:proofErr w:type="spellStart"/>
          <w:r>
            <w:rPr>
              <w:rFonts w:ascii="Times New Roman" w:hAnsi="Times New Roman" w:cs="Times New Roman"/>
              <w:b/>
              <w:bCs/>
              <w:sz w:val="20"/>
              <w:szCs w:val="20"/>
            </w:rPr>
            <w:t>pISSN</w:t>
          </w:r>
          <w:proofErr w:type="spellEnd"/>
          <w:r>
            <w:rPr>
              <w:rFonts w:ascii="Times New Roman" w:hAnsi="Times New Roman" w:cs="Times New Roman"/>
              <w:b/>
              <w:bCs/>
              <w:sz w:val="20"/>
              <w:szCs w:val="20"/>
            </w:rPr>
            <w:t xml:space="preserve">: (Hard Copy): 2814 – 1377; </w:t>
          </w:r>
          <w:proofErr w:type="spellStart"/>
          <w:r>
            <w:rPr>
              <w:rFonts w:ascii="Times New Roman" w:hAnsi="Times New Roman" w:cs="Times New Roman"/>
              <w:b/>
              <w:bCs/>
              <w:sz w:val="20"/>
              <w:szCs w:val="20"/>
            </w:rPr>
            <w:t>eISSN</w:t>
          </w:r>
          <w:proofErr w:type="spellEnd"/>
          <w:r>
            <w:rPr>
              <w:rFonts w:ascii="Times New Roman" w:hAnsi="Times New Roman" w:cs="Times New Roman"/>
              <w:b/>
              <w:bCs/>
              <w:sz w:val="20"/>
              <w:szCs w:val="20"/>
            </w:rPr>
            <w:t xml:space="preserve"> (Online): 2814 – 1369     </w:t>
          </w:r>
        </w:p>
      </w:tc>
      <w:tc>
        <w:tcPr>
          <w:tcW w:w="2512" w:type="dxa"/>
        </w:tcPr>
        <w:p w14:paraId="45F4DEE4" w14:textId="07E7A0F4" w:rsidR="008A50F8" w:rsidRDefault="00D900B0">
          <w:pPr>
            <w:pStyle w:val="Header"/>
            <w:spacing w:after="0" w:line="240" w:lineRule="auto"/>
            <w:ind w:left="0" w:hanging="2"/>
            <w:jc w:val="center"/>
            <w:rPr>
              <w:rFonts w:ascii="Times New Roman" w:hAnsi="Times New Roman" w:cs="Times New Roman"/>
              <w:sz w:val="20"/>
              <w:szCs w:val="20"/>
            </w:rPr>
          </w:pPr>
          <w:r w:rsidRPr="00B377D0">
            <w:rPr>
              <w:rFonts w:ascii="Times New Roman" w:hAnsi="Times New Roman" w:cs="Times New Roman"/>
              <w:noProof/>
              <w:sz w:val="24"/>
              <w:szCs w:val="24"/>
            </w:rPr>
            <w:drawing>
              <wp:inline distT="0" distB="0" distL="0" distR="0" wp14:anchorId="432F0401" wp14:editId="7A4A3780">
                <wp:extent cx="952500" cy="571500"/>
                <wp:effectExtent l="0" t="0" r="0" b="0"/>
                <wp:docPr id="488356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690" cy="577614"/>
                        </a:xfrm>
                        <a:prstGeom prst="rect">
                          <a:avLst/>
                        </a:prstGeom>
                        <a:noFill/>
                        <a:ln>
                          <a:noFill/>
                        </a:ln>
                      </pic:spPr>
                    </pic:pic>
                  </a:graphicData>
                </a:graphic>
              </wp:inline>
            </w:drawing>
          </w:r>
          <w:r w:rsidR="00783557">
            <w:rPr>
              <w:rFonts w:ascii="Times New Roman" w:hAnsi="Times New Roman" w:cs="Times New Roman"/>
              <w:sz w:val="20"/>
              <w:szCs w:val="20"/>
            </w:rPr>
            <w:t>www.</w:t>
          </w:r>
          <w:r w:rsidR="006B10DF">
            <w:rPr>
              <w:rFonts w:ascii="Times New Roman" w:hAnsi="Times New Roman" w:cs="Times New Roman"/>
              <w:sz w:val="20"/>
              <w:szCs w:val="20"/>
            </w:rPr>
            <w:t>foe</w:t>
          </w:r>
          <w:r w:rsidR="00783557">
            <w:rPr>
              <w:rFonts w:ascii="Times New Roman" w:hAnsi="Times New Roman" w:cs="Times New Roman"/>
              <w:sz w:val="20"/>
              <w:szCs w:val="20"/>
            </w:rPr>
            <w:t>fugusau.com</w:t>
          </w:r>
          <w:r w:rsidR="006B10DF">
            <w:rPr>
              <w:rFonts w:ascii="Times New Roman" w:hAnsi="Times New Roman" w:cs="Times New Roman"/>
              <w:sz w:val="20"/>
              <w:szCs w:val="20"/>
            </w:rPr>
            <w:t>.ng</w:t>
          </w:r>
        </w:p>
      </w:tc>
    </w:tr>
  </w:tbl>
  <w:p w14:paraId="4FB2D47F" w14:textId="21E00D6B" w:rsidR="008A50F8" w:rsidRPr="009575B3" w:rsidRDefault="00783557" w:rsidP="00482226">
    <w:pPr>
      <w:tabs>
        <w:tab w:val="center" w:pos="4513"/>
        <w:tab w:val="right" w:pos="9026"/>
        <w:tab w:val="right" w:pos="9356"/>
      </w:tabs>
      <w:spacing w:after="0" w:line="240" w:lineRule="auto"/>
      <w:ind w:leftChars="0" w:left="-90" w:firstLineChars="0" w:firstLine="0"/>
      <w:jc w:val="right"/>
      <w:rPr>
        <w:rFonts w:ascii="Times New Roman" w:hAnsi="Times New Roman" w:cs="Times New Roman"/>
        <w:b/>
        <w:bCs/>
        <w:sz w:val="20"/>
        <w:szCs w:val="20"/>
      </w:rPr>
    </w:pPr>
    <w:r>
      <w:rPr>
        <w:rFonts w:ascii="Times New Roman" w:hAnsi="Times New Roman" w:cs="Times New Roman"/>
        <w:sz w:val="20"/>
        <w:szCs w:val="20"/>
      </w:rPr>
      <w:tab/>
      <w:t xml:space="preserve">                </w:t>
    </w:r>
    <w:r w:rsidR="002E404E">
      <w:rPr>
        <w:rFonts w:ascii="Times New Roman" w:hAnsi="Times New Roman" w:cs="Times New Roman"/>
        <w:sz w:val="20"/>
        <w:szCs w:val="20"/>
      </w:rPr>
      <w:t>DOI</w:t>
    </w:r>
    <w:r w:rsidR="00482226">
      <w:rPr>
        <w:rFonts w:ascii="Times New Roman" w:hAnsi="Times New Roman" w:cs="Times New Roman"/>
        <w:sz w:val="20"/>
        <w:szCs w:val="20"/>
      </w:rPr>
      <w:t>:</w:t>
    </w:r>
    <w:r w:rsidRPr="009575B3">
      <w:rPr>
        <w:rFonts w:ascii="Times New Roman" w:hAnsi="Times New Roman" w:cs="Times New Roman"/>
        <w:b/>
        <w:bCs/>
        <w:sz w:val="20"/>
        <w:szCs w:val="20"/>
      </w:rPr>
      <w:t xml:space="preserve"> </w:t>
    </w:r>
    <w:hyperlink r:id="rId2" w:history="1">
      <w:r w:rsidR="00482226">
        <w:rPr>
          <w:rStyle w:val="Hyperlink"/>
          <w:rFonts w:ascii="Times New Roman" w:hAnsi="Times New Roman" w:cs="Times New Roman"/>
          <w:sz w:val="20"/>
          <w:szCs w:val="20"/>
        </w:rPr>
        <w:t>https://doi.org/10.64348/zije.2026404</w:t>
      </w:r>
    </w:hyperlink>
  </w:p>
  <w:p w14:paraId="467B5113" w14:textId="20B9B5DF" w:rsidR="00665EEC" w:rsidRDefault="009C7602" w:rsidP="00665EEC">
    <w:pPr>
      <w:tabs>
        <w:tab w:val="center" w:pos="4513"/>
        <w:tab w:val="right" w:pos="9026"/>
        <w:tab w:val="right" w:pos="9356"/>
      </w:tabs>
      <w:spacing w:after="0" w:line="240" w:lineRule="auto"/>
      <w:ind w:leftChars="0" w:left="-90" w:firstLineChars="0" w:firstLine="0"/>
      <w:rPr>
        <w:sz w:val="18"/>
        <w:szCs w:val="18"/>
      </w:rPr>
    </w:pPr>
    <w:bookmarkStart w:id="5" w:name="_Hlk202077399"/>
    <w:r>
      <w:rPr>
        <w:rFonts w:ascii="Apple Chancery" w:hAnsi="Apple Chancery" w:cs="Times New Roman"/>
        <w:sz w:val="18"/>
        <w:szCs w:val="18"/>
      </w:rPr>
      <w:t>Correlational Assessment of Phonological Awareness and Academic Achievement in</w:t>
    </w:r>
    <w:r w:rsidR="00A21D80">
      <w:rPr>
        <w:rFonts w:ascii="Apple Chancery" w:hAnsi="Apple Chancery" w:cs="Times New Roman"/>
        <w:sz w:val="18"/>
        <w:szCs w:val="18"/>
      </w:rPr>
      <w:t xml:space="preserve"> </w:t>
    </w:r>
    <w:r w:rsidR="00665EEC">
      <w:rPr>
        <w:rFonts w:ascii="Apple Chancery" w:hAnsi="Apple Chancery" w:cs="Times New Roman"/>
        <w:sz w:val="18"/>
        <w:szCs w:val="18"/>
      </w:rPr>
      <w:t xml:space="preserve">… </w:t>
    </w:r>
    <w:r>
      <w:rPr>
        <w:rFonts w:ascii="Apple Chancery" w:hAnsi="Apple Chancery" w:cs="Times New Roman"/>
        <w:sz w:val="18"/>
        <w:szCs w:val="18"/>
      </w:rPr>
      <w:t>Samuel, J.</w:t>
    </w:r>
    <w:r w:rsidR="001D7E5A">
      <w:rPr>
        <w:rFonts w:ascii="Apple Chancery" w:hAnsi="Apple Chancery" w:cs="Times New Roman"/>
        <w:sz w:val="18"/>
        <w:szCs w:val="18"/>
      </w:rPr>
      <w:t xml:space="preserve"> &amp; </w:t>
    </w:r>
    <w:r w:rsidR="00A532A7">
      <w:rPr>
        <w:rFonts w:ascii="Apple Chancery" w:hAnsi="Apple Chancery" w:cs="Times New Roman"/>
        <w:sz w:val="18"/>
        <w:szCs w:val="18"/>
      </w:rPr>
      <w:t>Inusa, A.</w:t>
    </w:r>
    <w:r w:rsidR="00A3398F">
      <w:rPr>
        <w:rFonts w:ascii="Apple Chancery" w:hAnsi="Apple Chancery" w:cs="Times New Roman"/>
        <w:sz w:val="18"/>
        <w:szCs w:val="18"/>
      </w:rPr>
      <w:t xml:space="preserve"> </w:t>
    </w:r>
    <w:r w:rsidR="00665EEC">
      <w:rPr>
        <w:rFonts w:ascii="Apple Chancery" w:hAnsi="Apple Chancery" w:cs="Times New Roman"/>
        <w:sz w:val="18"/>
        <w:szCs w:val="18"/>
      </w:rPr>
      <w:t>(</w:t>
    </w:r>
    <w:r w:rsidR="00665EEC" w:rsidRPr="009810FD">
      <w:rPr>
        <w:rFonts w:ascii="Apple Chancery" w:hAnsi="Apple Chancery" w:cs="Times New Roman"/>
        <w:sz w:val="18"/>
        <w:szCs w:val="18"/>
      </w:rPr>
      <w:t>202</w:t>
    </w:r>
    <w:r w:rsidR="00033562">
      <w:rPr>
        <w:rFonts w:ascii="Apple Chancery" w:hAnsi="Apple Chancery" w:cs="Times New Roman"/>
        <w:sz w:val="18"/>
        <w:szCs w:val="18"/>
      </w:rPr>
      <w:t>6</w:t>
    </w:r>
    <w:r w:rsidR="00665EEC" w:rsidRPr="009810FD">
      <w:rPr>
        <w:rFonts w:ascii="Apple Chancery" w:hAnsi="Apple Chancery" w:cs="Times New Roman"/>
        <w:sz w:val="18"/>
        <w:szCs w:val="18"/>
      </w:rPr>
      <w:t>)</w:t>
    </w:r>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6B395" w14:textId="77777777" w:rsidR="008A50F8" w:rsidRDefault="008A50F8">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069046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2"/>
    <w:multiLevelType w:val="multilevel"/>
    <w:tmpl w:val="663A7F2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000004"/>
    <w:multiLevelType w:val="hybridMultilevel"/>
    <w:tmpl w:val="8C2AB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7"/>
    <w:multiLevelType w:val="hybridMultilevel"/>
    <w:tmpl w:val="ACACC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A"/>
    <w:multiLevelType w:val="hybridMultilevel"/>
    <w:tmpl w:val="8BB64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5E07DE"/>
    <w:multiLevelType w:val="hybridMultilevel"/>
    <w:tmpl w:val="06CE5DE6"/>
    <w:lvl w:ilvl="0" w:tplc="6F520D70">
      <w:start w:val="1"/>
      <w:numFmt w:val="decimal"/>
      <w:lvlText w:val="%1."/>
      <w:lvlJc w:val="left"/>
      <w:pPr>
        <w:ind w:left="358" w:hanging="360"/>
      </w:pPr>
      <w:rPr>
        <w:rFonts w:hint="default"/>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tentative="1">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abstractNum w:abstractNumId="6" w15:restartNumberingAfterBreak="0">
    <w:nsid w:val="04EE55AC"/>
    <w:multiLevelType w:val="hybridMultilevel"/>
    <w:tmpl w:val="09521384"/>
    <w:lvl w:ilvl="0" w:tplc="B6B86098">
      <w:start w:val="1"/>
      <w:numFmt w:val="decimal"/>
      <w:lvlText w:val="%1."/>
      <w:lvlJc w:val="left"/>
      <w:pPr>
        <w:ind w:left="358" w:hanging="360"/>
      </w:pPr>
      <w:rPr>
        <w:rFonts w:hint="default"/>
        <w:b w:val="0"/>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tentative="1">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abstractNum w:abstractNumId="7" w15:restartNumberingAfterBreak="0">
    <w:nsid w:val="0A784193"/>
    <w:multiLevelType w:val="multilevel"/>
    <w:tmpl w:val="4AB43A3C"/>
    <w:lvl w:ilvl="0">
      <w:start w:val="1"/>
      <w:numFmt w:val="decimal"/>
      <w:lvlText w:val="%1."/>
      <w:lvlJc w:val="right"/>
      <w:pPr>
        <w:ind w:left="720" w:hanging="360"/>
      </w:pPr>
      <w:rPr>
        <w:rFonts w:ascii="Times New Roman" w:eastAsia="Calibri" w:hAnsi="Times New Roman" w:cs="Times New Roman"/>
        <w:b w:val="0"/>
      </w:rPr>
    </w:lvl>
    <w:lvl w:ilvl="1">
      <w:start w:val="5"/>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0B101F8F"/>
    <w:multiLevelType w:val="hybridMultilevel"/>
    <w:tmpl w:val="9E1E80FA"/>
    <w:lvl w:ilvl="0" w:tplc="A940A092">
      <w:start w:val="1"/>
      <w:numFmt w:val="decimal"/>
      <w:lvlText w:val="%1."/>
      <w:lvlJc w:val="left"/>
      <w:pPr>
        <w:ind w:left="358" w:hanging="360"/>
      </w:pPr>
      <w:rPr>
        <w:rFonts w:hint="default"/>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tentative="1">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abstractNum w:abstractNumId="9" w15:restartNumberingAfterBreak="0">
    <w:nsid w:val="104D7A08"/>
    <w:multiLevelType w:val="hybridMultilevel"/>
    <w:tmpl w:val="E80223B0"/>
    <w:lvl w:ilvl="0" w:tplc="6270FB7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8664A9"/>
    <w:multiLevelType w:val="multilevel"/>
    <w:tmpl w:val="13BC5A7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CD43D9"/>
    <w:multiLevelType w:val="hybridMultilevel"/>
    <w:tmpl w:val="B9C08BDA"/>
    <w:lvl w:ilvl="0" w:tplc="92A2D7A0">
      <w:start w:val="1"/>
      <w:numFmt w:val="decimal"/>
      <w:lvlText w:val="%1."/>
      <w:lvlJc w:val="left"/>
      <w:pPr>
        <w:ind w:left="358" w:hanging="360"/>
      </w:pPr>
      <w:rPr>
        <w:rFonts w:hint="default"/>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tentative="1">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abstractNum w:abstractNumId="12" w15:restartNumberingAfterBreak="0">
    <w:nsid w:val="25FE3556"/>
    <w:multiLevelType w:val="hybridMultilevel"/>
    <w:tmpl w:val="C250F396"/>
    <w:lvl w:ilvl="0" w:tplc="82AEC73C">
      <w:start w:val="1"/>
      <w:numFmt w:val="decimal"/>
      <w:lvlText w:val="%1."/>
      <w:lvlJc w:val="left"/>
      <w:pPr>
        <w:ind w:left="358" w:hanging="360"/>
      </w:pPr>
      <w:rPr>
        <w:rFonts w:hint="default"/>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tentative="1">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abstractNum w:abstractNumId="13" w15:restartNumberingAfterBreak="0">
    <w:nsid w:val="299F63B8"/>
    <w:multiLevelType w:val="hybridMultilevel"/>
    <w:tmpl w:val="6FB29538"/>
    <w:lvl w:ilvl="0" w:tplc="2C309C5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FA6E7D"/>
    <w:multiLevelType w:val="hybridMultilevel"/>
    <w:tmpl w:val="7EC49776"/>
    <w:lvl w:ilvl="0" w:tplc="FDB01384">
      <w:start w:val="1"/>
      <w:numFmt w:val="lowerRoman"/>
      <w:lvlText w:val="%1."/>
      <w:lvlJc w:val="left"/>
      <w:pPr>
        <w:ind w:left="1080" w:hanging="360"/>
      </w:pPr>
    </w:lvl>
    <w:lvl w:ilvl="1" w:tplc="2AD82D10">
      <w:start w:val="1"/>
      <w:numFmt w:val="decimal"/>
      <w:lvlText w:val=""/>
      <w:lvlJc w:val="left"/>
    </w:lvl>
    <w:lvl w:ilvl="2" w:tplc="36328DBA">
      <w:start w:val="1"/>
      <w:numFmt w:val="decimal"/>
      <w:lvlText w:val=""/>
      <w:lvlJc w:val="left"/>
    </w:lvl>
    <w:lvl w:ilvl="3" w:tplc="A3B26862">
      <w:start w:val="1"/>
      <w:numFmt w:val="decimal"/>
      <w:lvlText w:val=""/>
      <w:lvlJc w:val="left"/>
    </w:lvl>
    <w:lvl w:ilvl="4" w:tplc="EDEE4E1C">
      <w:start w:val="1"/>
      <w:numFmt w:val="decimal"/>
      <w:lvlText w:val=""/>
      <w:lvlJc w:val="left"/>
    </w:lvl>
    <w:lvl w:ilvl="5" w:tplc="0F161782">
      <w:start w:val="1"/>
      <w:numFmt w:val="decimal"/>
      <w:lvlText w:val=""/>
      <w:lvlJc w:val="left"/>
    </w:lvl>
    <w:lvl w:ilvl="6" w:tplc="3DAA0852">
      <w:start w:val="1"/>
      <w:numFmt w:val="decimal"/>
      <w:lvlText w:val=""/>
      <w:lvlJc w:val="left"/>
    </w:lvl>
    <w:lvl w:ilvl="7" w:tplc="723A9122">
      <w:start w:val="1"/>
      <w:numFmt w:val="decimal"/>
      <w:lvlText w:val=""/>
      <w:lvlJc w:val="left"/>
    </w:lvl>
    <w:lvl w:ilvl="8" w:tplc="2FCAA852">
      <w:start w:val="1"/>
      <w:numFmt w:val="decimal"/>
      <w:lvlText w:val=""/>
      <w:lvlJc w:val="left"/>
    </w:lvl>
  </w:abstractNum>
  <w:abstractNum w:abstractNumId="15" w15:restartNumberingAfterBreak="0">
    <w:nsid w:val="2CA8643F"/>
    <w:multiLevelType w:val="multilevel"/>
    <w:tmpl w:val="92789CC2"/>
    <w:lvl w:ilvl="0">
      <w:start w:val="1"/>
      <w:numFmt w:val="decimal"/>
      <w:lvlText w:val="%1."/>
      <w:lvlJc w:val="left"/>
      <w:pPr>
        <w:ind w:left="1440" w:hanging="360"/>
      </w:pPr>
    </w:lvl>
    <w:lvl w:ilvl="1">
      <w:start w:val="3"/>
      <w:numFmt w:val="decimal"/>
      <w:isLgl/>
      <w:lvlText w:val="%1.%2"/>
      <w:lvlJc w:val="left"/>
      <w:pPr>
        <w:ind w:left="1560" w:hanging="480"/>
      </w:pPr>
      <w:rPr>
        <w:rFonts w:hint="default"/>
        <w:b/>
      </w:rPr>
    </w:lvl>
    <w:lvl w:ilvl="2">
      <w:start w:val="3"/>
      <w:numFmt w:val="decimal"/>
      <w:isLgl/>
      <w:lvlText w:val="%1.%2.%3"/>
      <w:lvlJc w:val="left"/>
      <w:pPr>
        <w:ind w:left="1800" w:hanging="720"/>
      </w:pPr>
      <w:rPr>
        <w:rFonts w:hint="default"/>
        <w:b/>
      </w:rPr>
    </w:lvl>
    <w:lvl w:ilvl="3">
      <w:start w:val="1"/>
      <w:numFmt w:val="upperLetter"/>
      <w:isLgl/>
      <w:lvlText w:val="%1.%2.%3.%4"/>
      <w:lvlJc w:val="left"/>
      <w:pPr>
        <w:ind w:left="180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160" w:hanging="108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520" w:hanging="1440"/>
      </w:pPr>
      <w:rPr>
        <w:rFonts w:hint="default"/>
        <w:b/>
      </w:rPr>
    </w:lvl>
    <w:lvl w:ilvl="8">
      <w:start w:val="1"/>
      <w:numFmt w:val="decimal"/>
      <w:isLgl/>
      <w:lvlText w:val="%1.%2.%3.%4.%5.%6.%7.%8.%9"/>
      <w:lvlJc w:val="left"/>
      <w:pPr>
        <w:ind w:left="2880" w:hanging="1800"/>
      </w:pPr>
      <w:rPr>
        <w:rFonts w:hint="default"/>
        <w:b/>
      </w:rPr>
    </w:lvl>
  </w:abstractNum>
  <w:abstractNum w:abstractNumId="16" w15:restartNumberingAfterBreak="0">
    <w:nsid w:val="2DC344F0"/>
    <w:multiLevelType w:val="hybridMultilevel"/>
    <w:tmpl w:val="DCF8D83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1862997"/>
    <w:multiLevelType w:val="hybridMultilevel"/>
    <w:tmpl w:val="DEDE7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222E40"/>
    <w:multiLevelType w:val="hybridMultilevel"/>
    <w:tmpl w:val="4E847E4A"/>
    <w:lvl w:ilvl="0" w:tplc="16041EAE">
      <w:start w:val="1"/>
      <w:numFmt w:val="decimal"/>
      <w:lvlText w:val="%1."/>
      <w:lvlJc w:val="left"/>
      <w:pPr>
        <w:ind w:left="358" w:hanging="360"/>
      </w:pPr>
      <w:rPr>
        <w:rFonts w:hint="default"/>
        <w:b w:val="0"/>
        <w:sz w:val="20"/>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tentative="1">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abstractNum w:abstractNumId="19" w15:restartNumberingAfterBreak="0">
    <w:nsid w:val="344156BA"/>
    <w:multiLevelType w:val="hybridMultilevel"/>
    <w:tmpl w:val="C0C83090"/>
    <w:lvl w:ilvl="0" w:tplc="2000000F">
      <w:start w:val="1"/>
      <w:numFmt w:val="decimal"/>
      <w:lvlText w:val="%1."/>
      <w:lvlJc w:val="left"/>
      <w:pPr>
        <w:ind w:left="718" w:hanging="360"/>
      </w:pPr>
    </w:lvl>
    <w:lvl w:ilvl="1" w:tplc="20000019" w:tentative="1">
      <w:start w:val="1"/>
      <w:numFmt w:val="lowerLetter"/>
      <w:lvlText w:val="%2."/>
      <w:lvlJc w:val="left"/>
      <w:pPr>
        <w:ind w:left="1438" w:hanging="360"/>
      </w:pPr>
    </w:lvl>
    <w:lvl w:ilvl="2" w:tplc="2000001B" w:tentative="1">
      <w:start w:val="1"/>
      <w:numFmt w:val="lowerRoman"/>
      <w:lvlText w:val="%3."/>
      <w:lvlJc w:val="right"/>
      <w:pPr>
        <w:ind w:left="2158" w:hanging="180"/>
      </w:pPr>
    </w:lvl>
    <w:lvl w:ilvl="3" w:tplc="2000000F" w:tentative="1">
      <w:start w:val="1"/>
      <w:numFmt w:val="decimal"/>
      <w:lvlText w:val="%4."/>
      <w:lvlJc w:val="left"/>
      <w:pPr>
        <w:ind w:left="2878" w:hanging="360"/>
      </w:pPr>
    </w:lvl>
    <w:lvl w:ilvl="4" w:tplc="20000019" w:tentative="1">
      <w:start w:val="1"/>
      <w:numFmt w:val="lowerLetter"/>
      <w:lvlText w:val="%5."/>
      <w:lvlJc w:val="left"/>
      <w:pPr>
        <w:ind w:left="3598" w:hanging="360"/>
      </w:pPr>
    </w:lvl>
    <w:lvl w:ilvl="5" w:tplc="2000001B" w:tentative="1">
      <w:start w:val="1"/>
      <w:numFmt w:val="lowerRoman"/>
      <w:lvlText w:val="%6."/>
      <w:lvlJc w:val="right"/>
      <w:pPr>
        <w:ind w:left="4318" w:hanging="180"/>
      </w:pPr>
    </w:lvl>
    <w:lvl w:ilvl="6" w:tplc="2000000F" w:tentative="1">
      <w:start w:val="1"/>
      <w:numFmt w:val="decimal"/>
      <w:lvlText w:val="%7."/>
      <w:lvlJc w:val="left"/>
      <w:pPr>
        <w:ind w:left="5038" w:hanging="360"/>
      </w:pPr>
    </w:lvl>
    <w:lvl w:ilvl="7" w:tplc="20000019" w:tentative="1">
      <w:start w:val="1"/>
      <w:numFmt w:val="lowerLetter"/>
      <w:lvlText w:val="%8."/>
      <w:lvlJc w:val="left"/>
      <w:pPr>
        <w:ind w:left="5758" w:hanging="360"/>
      </w:pPr>
    </w:lvl>
    <w:lvl w:ilvl="8" w:tplc="2000001B" w:tentative="1">
      <w:start w:val="1"/>
      <w:numFmt w:val="lowerRoman"/>
      <w:lvlText w:val="%9."/>
      <w:lvlJc w:val="right"/>
      <w:pPr>
        <w:ind w:left="6478" w:hanging="180"/>
      </w:pPr>
    </w:lvl>
  </w:abstractNum>
  <w:abstractNum w:abstractNumId="20" w15:restartNumberingAfterBreak="0">
    <w:nsid w:val="36A76E0E"/>
    <w:multiLevelType w:val="hybridMultilevel"/>
    <w:tmpl w:val="CC9E6AD6"/>
    <w:lvl w:ilvl="0" w:tplc="2000000F">
      <w:start w:val="1"/>
      <w:numFmt w:val="decimal"/>
      <w:lvlText w:val="%1."/>
      <w:lvlJc w:val="left"/>
      <w:pPr>
        <w:ind w:left="718" w:hanging="360"/>
      </w:pPr>
    </w:lvl>
    <w:lvl w:ilvl="1" w:tplc="20000019" w:tentative="1">
      <w:start w:val="1"/>
      <w:numFmt w:val="lowerLetter"/>
      <w:lvlText w:val="%2."/>
      <w:lvlJc w:val="left"/>
      <w:pPr>
        <w:ind w:left="1438" w:hanging="360"/>
      </w:pPr>
    </w:lvl>
    <w:lvl w:ilvl="2" w:tplc="2000001B" w:tentative="1">
      <w:start w:val="1"/>
      <w:numFmt w:val="lowerRoman"/>
      <w:lvlText w:val="%3."/>
      <w:lvlJc w:val="right"/>
      <w:pPr>
        <w:ind w:left="2158" w:hanging="180"/>
      </w:pPr>
    </w:lvl>
    <w:lvl w:ilvl="3" w:tplc="2000000F" w:tentative="1">
      <w:start w:val="1"/>
      <w:numFmt w:val="decimal"/>
      <w:lvlText w:val="%4."/>
      <w:lvlJc w:val="left"/>
      <w:pPr>
        <w:ind w:left="2878" w:hanging="360"/>
      </w:pPr>
    </w:lvl>
    <w:lvl w:ilvl="4" w:tplc="20000019" w:tentative="1">
      <w:start w:val="1"/>
      <w:numFmt w:val="lowerLetter"/>
      <w:lvlText w:val="%5."/>
      <w:lvlJc w:val="left"/>
      <w:pPr>
        <w:ind w:left="3598" w:hanging="360"/>
      </w:pPr>
    </w:lvl>
    <w:lvl w:ilvl="5" w:tplc="2000001B" w:tentative="1">
      <w:start w:val="1"/>
      <w:numFmt w:val="lowerRoman"/>
      <w:lvlText w:val="%6."/>
      <w:lvlJc w:val="right"/>
      <w:pPr>
        <w:ind w:left="4318" w:hanging="180"/>
      </w:pPr>
    </w:lvl>
    <w:lvl w:ilvl="6" w:tplc="2000000F" w:tentative="1">
      <w:start w:val="1"/>
      <w:numFmt w:val="decimal"/>
      <w:lvlText w:val="%7."/>
      <w:lvlJc w:val="left"/>
      <w:pPr>
        <w:ind w:left="5038" w:hanging="360"/>
      </w:pPr>
    </w:lvl>
    <w:lvl w:ilvl="7" w:tplc="20000019" w:tentative="1">
      <w:start w:val="1"/>
      <w:numFmt w:val="lowerLetter"/>
      <w:lvlText w:val="%8."/>
      <w:lvlJc w:val="left"/>
      <w:pPr>
        <w:ind w:left="5758" w:hanging="360"/>
      </w:pPr>
    </w:lvl>
    <w:lvl w:ilvl="8" w:tplc="2000001B" w:tentative="1">
      <w:start w:val="1"/>
      <w:numFmt w:val="lowerRoman"/>
      <w:lvlText w:val="%9."/>
      <w:lvlJc w:val="right"/>
      <w:pPr>
        <w:ind w:left="6478" w:hanging="180"/>
      </w:pPr>
    </w:lvl>
  </w:abstractNum>
  <w:abstractNum w:abstractNumId="21" w15:restartNumberingAfterBreak="0">
    <w:nsid w:val="38A719C6"/>
    <w:multiLevelType w:val="hybridMultilevel"/>
    <w:tmpl w:val="F97CA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B860B6"/>
    <w:multiLevelType w:val="multilevel"/>
    <w:tmpl w:val="FD5E8208"/>
    <w:lvl w:ilvl="0">
      <w:start w:val="1"/>
      <w:numFmt w:val="low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D24CD0"/>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C94088"/>
    <w:multiLevelType w:val="multilevel"/>
    <w:tmpl w:val="09FC44A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48645E5B"/>
    <w:multiLevelType w:val="hybridMultilevel"/>
    <w:tmpl w:val="E186699C"/>
    <w:lvl w:ilvl="0" w:tplc="6E260D02">
      <w:start w:val="1"/>
      <w:numFmt w:val="decimal"/>
      <w:lvlText w:val="%1."/>
      <w:lvlJc w:val="left"/>
      <w:pPr>
        <w:ind w:left="358" w:hanging="360"/>
      </w:pPr>
      <w:rPr>
        <w:rFonts w:hint="default"/>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tentative="1">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abstractNum w:abstractNumId="26" w15:restartNumberingAfterBreak="0">
    <w:nsid w:val="499B7B3B"/>
    <w:multiLevelType w:val="hybridMultilevel"/>
    <w:tmpl w:val="7A6E6A2A"/>
    <w:lvl w:ilvl="0" w:tplc="4A9A7706">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E1191F"/>
    <w:multiLevelType w:val="hybridMultilevel"/>
    <w:tmpl w:val="01CA1E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F6462F5"/>
    <w:multiLevelType w:val="hybridMultilevel"/>
    <w:tmpl w:val="54D62CA0"/>
    <w:lvl w:ilvl="0" w:tplc="7A1AAD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BB2685"/>
    <w:multiLevelType w:val="hybridMultilevel"/>
    <w:tmpl w:val="04548D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FD7F19"/>
    <w:multiLevelType w:val="hybridMultilevel"/>
    <w:tmpl w:val="53D81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1414E6"/>
    <w:multiLevelType w:val="hybridMultilevel"/>
    <w:tmpl w:val="E85212A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5F2D112E"/>
    <w:multiLevelType w:val="multilevel"/>
    <w:tmpl w:val="772AE4C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186746"/>
    <w:multiLevelType w:val="hybridMultilevel"/>
    <w:tmpl w:val="818680F4"/>
    <w:lvl w:ilvl="0" w:tplc="503447C4">
      <w:start w:val="1"/>
      <w:numFmt w:val="lowerRoman"/>
      <w:lvlText w:val="%1."/>
      <w:lvlJc w:val="left"/>
      <w:pPr>
        <w:ind w:left="718" w:hanging="720"/>
      </w:pPr>
      <w:rPr>
        <w:rFonts w:hint="default"/>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tentative="1">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abstractNum w:abstractNumId="34" w15:restartNumberingAfterBreak="0">
    <w:nsid w:val="68500892"/>
    <w:multiLevelType w:val="hybridMultilevel"/>
    <w:tmpl w:val="7BC22E0A"/>
    <w:lvl w:ilvl="0" w:tplc="CCCA00A8">
      <w:start w:val="1"/>
      <w:numFmt w:val="decimal"/>
      <w:lvlText w:val="%1."/>
      <w:lvlJc w:val="left"/>
      <w:pPr>
        <w:ind w:left="358" w:hanging="360"/>
      </w:pPr>
      <w:rPr>
        <w:rFonts w:hint="default"/>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tentative="1">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abstractNum w:abstractNumId="35" w15:restartNumberingAfterBreak="0">
    <w:nsid w:val="6F47506B"/>
    <w:multiLevelType w:val="hybridMultilevel"/>
    <w:tmpl w:val="E974ADB6"/>
    <w:lvl w:ilvl="0" w:tplc="6E260D02">
      <w:start w:val="1"/>
      <w:numFmt w:val="decimal"/>
      <w:lvlText w:val="%1."/>
      <w:lvlJc w:val="left"/>
      <w:pPr>
        <w:ind w:left="358" w:hanging="360"/>
      </w:pPr>
      <w:rPr>
        <w:rFonts w:hint="default"/>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tentative="1">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abstractNum w:abstractNumId="36" w15:restartNumberingAfterBreak="0">
    <w:nsid w:val="736D7AF8"/>
    <w:multiLevelType w:val="hybridMultilevel"/>
    <w:tmpl w:val="40B00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2123FA"/>
    <w:multiLevelType w:val="hybridMultilevel"/>
    <w:tmpl w:val="CDFAA7A0"/>
    <w:lvl w:ilvl="0" w:tplc="2FE6028C">
      <w:start w:val="1"/>
      <w:numFmt w:val="decimal"/>
      <w:lvlText w:val="%1."/>
      <w:lvlJc w:val="righ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ED3ABA"/>
    <w:multiLevelType w:val="hybridMultilevel"/>
    <w:tmpl w:val="6A468128"/>
    <w:lvl w:ilvl="0" w:tplc="2000000F">
      <w:start w:val="1"/>
      <w:numFmt w:val="decimal"/>
      <w:lvlText w:val="%1."/>
      <w:lvlJc w:val="left"/>
      <w:pPr>
        <w:ind w:left="718" w:hanging="360"/>
      </w:pPr>
    </w:lvl>
    <w:lvl w:ilvl="1" w:tplc="20000019" w:tentative="1">
      <w:start w:val="1"/>
      <w:numFmt w:val="lowerLetter"/>
      <w:lvlText w:val="%2."/>
      <w:lvlJc w:val="left"/>
      <w:pPr>
        <w:ind w:left="1438" w:hanging="360"/>
      </w:pPr>
    </w:lvl>
    <w:lvl w:ilvl="2" w:tplc="2000001B" w:tentative="1">
      <w:start w:val="1"/>
      <w:numFmt w:val="lowerRoman"/>
      <w:lvlText w:val="%3."/>
      <w:lvlJc w:val="right"/>
      <w:pPr>
        <w:ind w:left="2158" w:hanging="180"/>
      </w:pPr>
    </w:lvl>
    <w:lvl w:ilvl="3" w:tplc="2000000F" w:tentative="1">
      <w:start w:val="1"/>
      <w:numFmt w:val="decimal"/>
      <w:lvlText w:val="%4."/>
      <w:lvlJc w:val="left"/>
      <w:pPr>
        <w:ind w:left="2878" w:hanging="360"/>
      </w:pPr>
    </w:lvl>
    <w:lvl w:ilvl="4" w:tplc="20000019" w:tentative="1">
      <w:start w:val="1"/>
      <w:numFmt w:val="lowerLetter"/>
      <w:lvlText w:val="%5."/>
      <w:lvlJc w:val="left"/>
      <w:pPr>
        <w:ind w:left="3598" w:hanging="360"/>
      </w:pPr>
    </w:lvl>
    <w:lvl w:ilvl="5" w:tplc="2000001B" w:tentative="1">
      <w:start w:val="1"/>
      <w:numFmt w:val="lowerRoman"/>
      <w:lvlText w:val="%6."/>
      <w:lvlJc w:val="right"/>
      <w:pPr>
        <w:ind w:left="4318" w:hanging="180"/>
      </w:pPr>
    </w:lvl>
    <w:lvl w:ilvl="6" w:tplc="2000000F" w:tentative="1">
      <w:start w:val="1"/>
      <w:numFmt w:val="decimal"/>
      <w:lvlText w:val="%7."/>
      <w:lvlJc w:val="left"/>
      <w:pPr>
        <w:ind w:left="5038" w:hanging="360"/>
      </w:pPr>
    </w:lvl>
    <w:lvl w:ilvl="7" w:tplc="20000019" w:tentative="1">
      <w:start w:val="1"/>
      <w:numFmt w:val="lowerLetter"/>
      <w:lvlText w:val="%8."/>
      <w:lvlJc w:val="left"/>
      <w:pPr>
        <w:ind w:left="5758" w:hanging="360"/>
      </w:pPr>
    </w:lvl>
    <w:lvl w:ilvl="8" w:tplc="2000001B" w:tentative="1">
      <w:start w:val="1"/>
      <w:numFmt w:val="lowerRoman"/>
      <w:lvlText w:val="%9."/>
      <w:lvlJc w:val="right"/>
      <w:pPr>
        <w:ind w:left="6478" w:hanging="180"/>
      </w:pPr>
    </w:lvl>
  </w:abstractNum>
  <w:abstractNum w:abstractNumId="39" w15:restartNumberingAfterBreak="0">
    <w:nsid w:val="7ADB6964"/>
    <w:multiLevelType w:val="multilevel"/>
    <w:tmpl w:val="5D5E5018"/>
    <w:lvl w:ilvl="0">
      <w:start w:val="1"/>
      <w:numFmt w:val="decimal"/>
      <w:lvlText w:val="%1."/>
      <w:lvlJc w:val="left"/>
      <w:pPr>
        <w:ind w:left="1440" w:hanging="360"/>
      </w:pPr>
    </w:lvl>
    <w:lvl w:ilvl="1">
      <w:start w:val="4"/>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upperLetter"/>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0" w15:restartNumberingAfterBreak="0">
    <w:nsid w:val="7E0F6481"/>
    <w:multiLevelType w:val="hybridMultilevel"/>
    <w:tmpl w:val="45FE96B6"/>
    <w:lvl w:ilvl="0" w:tplc="412EE734">
      <w:start w:val="1"/>
      <w:numFmt w:val="decimal"/>
      <w:lvlText w:val="%1."/>
      <w:lvlJc w:val="left"/>
      <w:pPr>
        <w:ind w:left="358" w:hanging="360"/>
      </w:pPr>
      <w:rPr>
        <w:rFonts w:hint="default"/>
      </w:rPr>
    </w:lvl>
    <w:lvl w:ilvl="1" w:tplc="20000019" w:tentative="1">
      <w:start w:val="1"/>
      <w:numFmt w:val="lowerLetter"/>
      <w:lvlText w:val="%2."/>
      <w:lvlJc w:val="left"/>
      <w:pPr>
        <w:ind w:left="1078" w:hanging="360"/>
      </w:pPr>
    </w:lvl>
    <w:lvl w:ilvl="2" w:tplc="2000001B" w:tentative="1">
      <w:start w:val="1"/>
      <w:numFmt w:val="lowerRoman"/>
      <w:lvlText w:val="%3."/>
      <w:lvlJc w:val="right"/>
      <w:pPr>
        <w:ind w:left="1798" w:hanging="180"/>
      </w:pPr>
    </w:lvl>
    <w:lvl w:ilvl="3" w:tplc="2000000F" w:tentative="1">
      <w:start w:val="1"/>
      <w:numFmt w:val="decimal"/>
      <w:lvlText w:val="%4."/>
      <w:lvlJc w:val="left"/>
      <w:pPr>
        <w:ind w:left="2518" w:hanging="360"/>
      </w:pPr>
    </w:lvl>
    <w:lvl w:ilvl="4" w:tplc="20000019" w:tentative="1">
      <w:start w:val="1"/>
      <w:numFmt w:val="lowerLetter"/>
      <w:lvlText w:val="%5."/>
      <w:lvlJc w:val="left"/>
      <w:pPr>
        <w:ind w:left="3238" w:hanging="360"/>
      </w:pPr>
    </w:lvl>
    <w:lvl w:ilvl="5" w:tplc="2000001B" w:tentative="1">
      <w:start w:val="1"/>
      <w:numFmt w:val="lowerRoman"/>
      <w:lvlText w:val="%6."/>
      <w:lvlJc w:val="right"/>
      <w:pPr>
        <w:ind w:left="3958" w:hanging="180"/>
      </w:pPr>
    </w:lvl>
    <w:lvl w:ilvl="6" w:tplc="2000000F" w:tentative="1">
      <w:start w:val="1"/>
      <w:numFmt w:val="decimal"/>
      <w:lvlText w:val="%7."/>
      <w:lvlJc w:val="left"/>
      <w:pPr>
        <w:ind w:left="4678" w:hanging="360"/>
      </w:pPr>
    </w:lvl>
    <w:lvl w:ilvl="7" w:tplc="20000019" w:tentative="1">
      <w:start w:val="1"/>
      <w:numFmt w:val="lowerLetter"/>
      <w:lvlText w:val="%8."/>
      <w:lvlJc w:val="left"/>
      <w:pPr>
        <w:ind w:left="5398" w:hanging="360"/>
      </w:pPr>
    </w:lvl>
    <w:lvl w:ilvl="8" w:tplc="2000001B" w:tentative="1">
      <w:start w:val="1"/>
      <w:numFmt w:val="lowerRoman"/>
      <w:lvlText w:val="%9."/>
      <w:lvlJc w:val="right"/>
      <w:pPr>
        <w:ind w:left="6118" w:hanging="180"/>
      </w:pPr>
    </w:lvl>
  </w:abstractNum>
  <w:num w:numId="1" w16cid:durableId="1684477746">
    <w:abstractNumId w:val="28"/>
  </w:num>
  <w:num w:numId="2" w16cid:durableId="333922029">
    <w:abstractNumId w:val="9"/>
  </w:num>
  <w:num w:numId="3" w16cid:durableId="518004798">
    <w:abstractNumId w:val="33"/>
  </w:num>
  <w:num w:numId="4" w16cid:durableId="477109523">
    <w:abstractNumId w:val="18"/>
  </w:num>
  <w:num w:numId="5" w16cid:durableId="1531072217">
    <w:abstractNumId w:val="32"/>
  </w:num>
  <w:num w:numId="6" w16cid:durableId="1788886168">
    <w:abstractNumId w:val="10"/>
  </w:num>
  <w:num w:numId="7" w16cid:durableId="1229340991">
    <w:abstractNumId w:val="17"/>
  </w:num>
  <w:num w:numId="8" w16cid:durableId="9525985">
    <w:abstractNumId w:val="36"/>
  </w:num>
  <w:num w:numId="9" w16cid:durableId="2017803776">
    <w:abstractNumId w:val="26"/>
  </w:num>
  <w:num w:numId="10" w16cid:durableId="190535831">
    <w:abstractNumId w:val="6"/>
  </w:num>
  <w:num w:numId="11" w16cid:durableId="1921526098">
    <w:abstractNumId w:val="37"/>
  </w:num>
  <w:num w:numId="12" w16cid:durableId="1756898171">
    <w:abstractNumId w:val="7"/>
  </w:num>
  <w:num w:numId="13" w16cid:durableId="1876770104">
    <w:abstractNumId w:val="12"/>
  </w:num>
  <w:num w:numId="14" w16cid:durableId="55596079">
    <w:abstractNumId w:val="1"/>
  </w:num>
  <w:num w:numId="15" w16cid:durableId="1247153552">
    <w:abstractNumId w:val="0"/>
  </w:num>
  <w:num w:numId="16" w16cid:durableId="514273892">
    <w:abstractNumId w:val="24"/>
  </w:num>
  <w:num w:numId="17" w16cid:durableId="2029481533">
    <w:abstractNumId w:val="29"/>
  </w:num>
  <w:num w:numId="18" w16cid:durableId="2086297514">
    <w:abstractNumId w:val="5"/>
  </w:num>
  <w:num w:numId="19" w16cid:durableId="52394824">
    <w:abstractNumId w:val="4"/>
  </w:num>
  <w:num w:numId="20" w16cid:durableId="300306859">
    <w:abstractNumId w:val="2"/>
  </w:num>
  <w:num w:numId="21" w16cid:durableId="1904675670">
    <w:abstractNumId w:val="3"/>
  </w:num>
  <w:num w:numId="22" w16cid:durableId="1447581376">
    <w:abstractNumId w:val="14"/>
    <w:lvlOverride w:ilvl="0">
      <w:startOverride w:val="1"/>
    </w:lvlOverride>
  </w:num>
  <w:num w:numId="23" w16cid:durableId="219481490">
    <w:abstractNumId w:val="0"/>
    <w:lvlOverride w:ilvl="0">
      <w:startOverride w:val="1"/>
    </w:lvlOverride>
  </w:num>
  <w:num w:numId="24" w16cid:durableId="1581678104">
    <w:abstractNumId w:val="13"/>
  </w:num>
  <w:num w:numId="25" w16cid:durableId="1876235276">
    <w:abstractNumId w:val="19"/>
  </w:num>
  <w:num w:numId="26" w16cid:durableId="872688107">
    <w:abstractNumId w:val="8"/>
  </w:num>
  <w:num w:numId="27" w16cid:durableId="219368898">
    <w:abstractNumId w:val="27"/>
  </w:num>
  <w:num w:numId="28" w16cid:durableId="1275282658">
    <w:abstractNumId w:val="31"/>
  </w:num>
  <w:num w:numId="29" w16cid:durableId="11807157">
    <w:abstractNumId w:val="11"/>
  </w:num>
  <w:num w:numId="30" w16cid:durableId="1915234887">
    <w:abstractNumId w:val="30"/>
  </w:num>
  <w:num w:numId="31" w16cid:durableId="2016222015">
    <w:abstractNumId w:val="38"/>
  </w:num>
  <w:num w:numId="32" w16cid:durableId="1776288905">
    <w:abstractNumId w:val="35"/>
  </w:num>
  <w:num w:numId="33" w16cid:durableId="377364811">
    <w:abstractNumId w:val="25"/>
  </w:num>
  <w:num w:numId="34" w16cid:durableId="2120831674">
    <w:abstractNumId w:val="22"/>
  </w:num>
  <w:num w:numId="35" w16cid:durableId="655038109">
    <w:abstractNumId w:val="23"/>
  </w:num>
  <w:num w:numId="36" w16cid:durableId="1926112692">
    <w:abstractNumId w:val="16"/>
  </w:num>
  <w:num w:numId="37" w16cid:durableId="2084528260">
    <w:abstractNumId w:val="15"/>
  </w:num>
  <w:num w:numId="38" w16cid:durableId="618799946">
    <w:abstractNumId w:val="39"/>
  </w:num>
  <w:num w:numId="39" w16cid:durableId="1939633856">
    <w:abstractNumId w:val="21"/>
  </w:num>
  <w:num w:numId="40" w16cid:durableId="888226552">
    <w:abstractNumId w:val="34"/>
  </w:num>
  <w:num w:numId="41" w16cid:durableId="142821281">
    <w:abstractNumId w:val="20"/>
  </w:num>
  <w:num w:numId="42" w16cid:durableId="1806386648">
    <w:abstractNumId w:val="4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0F8"/>
    <w:rsid w:val="00033562"/>
    <w:rsid w:val="00036345"/>
    <w:rsid w:val="00096C1D"/>
    <w:rsid w:val="000A3419"/>
    <w:rsid w:val="000A3D66"/>
    <w:rsid w:val="000A74FD"/>
    <w:rsid w:val="000B6683"/>
    <w:rsid w:val="000C61A5"/>
    <w:rsid w:val="000E0D1B"/>
    <w:rsid w:val="000E4A9C"/>
    <w:rsid w:val="000E5755"/>
    <w:rsid w:val="000F38AA"/>
    <w:rsid w:val="00106E23"/>
    <w:rsid w:val="00107DA2"/>
    <w:rsid w:val="00114384"/>
    <w:rsid w:val="001262DE"/>
    <w:rsid w:val="00126825"/>
    <w:rsid w:val="00127169"/>
    <w:rsid w:val="001329D3"/>
    <w:rsid w:val="00147300"/>
    <w:rsid w:val="00180983"/>
    <w:rsid w:val="001C0C85"/>
    <w:rsid w:val="001D6626"/>
    <w:rsid w:val="001D7E5A"/>
    <w:rsid w:val="001E5118"/>
    <w:rsid w:val="00203CD3"/>
    <w:rsid w:val="0021692A"/>
    <w:rsid w:val="00222F40"/>
    <w:rsid w:val="0023044F"/>
    <w:rsid w:val="00260DD1"/>
    <w:rsid w:val="00282345"/>
    <w:rsid w:val="00291BE0"/>
    <w:rsid w:val="002950C8"/>
    <w:rsid w:val="002A7C38"/>
    <w:rsid w:val="002B1269"/>
    <w:rsid w:val="002B2BCD"/>
    <w:rsid w:val="002E404E"/>
    <w:rsid w:val="002E7B5D"/>
    <w:rsid w:val="00311DC6"/>
    <w:rsid w:val="00330B18"/>
    <w:rsid w:val="0035135A"/>
    <w:rsid w:val="003642BC"/>
    <w:rsid w:val="0036747D"/>
    <w:rsid w:val="00375D0F"/>
    <w:rsid w:val="003902AD"/>
    <w:rsid w:val="003A1D42"/>
    <w:rsid w:val="003A24CA"/>
    <w:rsid w:val="003B09D1"/>
    <w:rsid w:val="003B2072"/>
    <w:rsid w:val="003C56C8"/>
    <w:rsid w:val="003D551F"/>
    <w:rsid w:val="003E72E8"/>
    <w:rsid w:val="004107E7"/>
    <w:rsid w:val="0045263F"/>
    <w:rsid w:val="004612D2"/>
    <w:rsid w:val="00472BC2"/>
    <w:rsid w:val="00482226"/>
    <w:rsid w:val="004A7804"/>
    <w:rsid w:val="004B28AC"/>
    <w:rsid w:val="004C690C"/>
    <w:rsid w:val="004D2092"/>
    <w:rsid w:val="004D66B5"/>
    <w:rsid w:val="004E35DA"/>
    <w:rsid w:val="00510A90"/>
    <w:rsid w:val="005110CD"/>
    <w:rsid w:val="00520F03"/>
    <w:rsid w:val="00520F91"/>
    <w:rsid w:val="0053019C"/>
    <w:rsid w:val="00537F21"/>
    <w:rsid w:val="005429B4"/>
    <w:rsid w:val="00544F31"/>
    <w:rsid w:val="00554121"/>
    <w:rsid w:val="005831C8"/>
    <w:rsid w:val="005856F7"/>
    <w:rsid w:val="005A252A"/>
    <w:rsid w:val="005A5DC6"/>
    <w:rsid w:val="005B2225"/>
    <w:rsid w:val="005C0146"/>
    <w:rsid w:val="005C248C"/>
    <w:rsid w:val="005E0762"/>
    <w:rsid w:val="005E1DFA"/>
    <w:rsid w:val="005F1012"/>
    <w:rsid w:val="005F7ED7"/>
    <w:rsid w:val="0061634B"/>
    <w:rsid w:val="00644D67"/>
    <w:rsid w:val="00647C5A"/>
    <w:rsid w:val="00650BF4"/>
    <w:rsid w:val="00665933"/>
    <w:rsid w:val="00665EEC"/>
    <w:rsid w:val="00670F7E"/>
    <w:rsid w:val="00695209"/>
    <w:rsid w:val="006A1D1D"/>
    <w:rsid w:val="006B10DF"/>
    <w:rsid w:val="006B77D9"/>
    <w:rsid w:val="00703121"/>
    <w:rsid w:val="007170BE"/>
    <w:rsid w:val="007559BF"/>
    <w:rsid w:val="00783557"/>
    <w:rsid w:val="007922EF"/>
    <w:rsid w:val="007A7E45"/>
    <w:rsid w:val="007C72FA"/>
    <w:rsid w:val="007D6591"/>
    <w:rsid w:val="007F241D"/>
    <w:rsid w:val="00806768"/>
    <w:rsid w:val="00806A96"/>
    <w:rsid w:val="00815332"/>
    <w:rsid w:val="00822985"/>
    <w:rsid w:val="008615C1"/>
    <w:rsid w:val="00873E2D"/>
    <w:rsid w:val="00886F35"/>
    <w:rsid w:val="008A50F8"/>
    <w:rsid w:val="008D6B3A"/>
    <w:rsid w:val="008E0BA2"/>
    <w:rsid w:val="008E5DFD"/>
    <w:rsid w:val="00920435"/>
    <w:rsid w:val="009325EF"/>
    <w:rsid w:val="0093715B"/>
    <w:rsid w:val="00941D9F"/>
    <w:rsid w:val="009575B3"/>
    <w:rsid w:val="00963167"/>
    <w:rsid w:val="009674AA"/>
    <w:rsid w:val="00973D9C"/>
    <w:rsid w:val="00982F02"/>
    <w:rsid w:val="009853C5"/>
    <w:rsid w:val="009A10E5"/>
    <w:rsid w:val="009B471D"/>
    <w:rsid w:val="009B74CE"/>
    <w:rsid w:val="009C3B59"/>
    <w:rsid w:val="009C7602"/>
    <w:rsid w:val="009D2F0F"/>
    <w:rsid w:val="009D69FE"/>
    <w:rsid w:val="009F291C"/>
    <w:rsid w:val="009F3E3E"/>
    <w:rsid w:val="00A1147E"/>
    <w:rsid w:val="00A21D80"/>
    <w:rsid w:val="00A3398F"/>
    <w:rsid w:val="00A35F82"/>
    <w:rsid w:val="00A36FCD"/>
    <w:rsid w:val="00A45C15"/>
    <w:rsid w:val="00A51EDB"/>
    <w:rsid w:val="00A52412"/>
    <w:rsid w:val="00A532A7"/>
    <w:rsid w:val="00A646B6"/>
    <w:rsid w:val="00A76E68"/>
    <w:rsid w:val="00AA394E"/>
    <w:rsid w:val="00AA7A66"/>
    <w:rsid w:val="00AC1311"/>
    <w:rsid w:val="00AE141B"/>
    <w:rsid w:val="00AE6DFC"/>
    <w:rsid w:val="00AF5409"/>
    <w:rsid w:val="00B0207C"/>
    <w:rsid w:val="00B236D3"/>
    <w:rsid w:val="00B25F61"/>
    <w:rsid w:val="00B3485A"/>
    <w:rsid w:val="00B474AA"/>
    <w:rsid w:val="00B5689D"/>
    <w:rsid w:val="00B72B0E"/>
    <w:rsid w:val="00B855E6"/>
    <w:rsid w:val="00B9094E"/>
    <w:rsid w:val="00BA0067"/>
    <w:rsid w:val="00BA450E"/>
    <w:rsid w:val="00BB1AB1"/>
    <w:rsid w:val="00BF14D0"/>
    <w:rsid w:val="00BF47A6"/>
    <w:rsid w:val="00C1506B"/>
    <w:rsid w:val="00C459AD"/>
    <w:rsid w:val="00C517B9"/>
    <w:rsid w:val="00C55BF7"/>
    <w:rsid w:val="00C63B7F"/>
    <w:rsid w:val="00C80788"/>
    <w:rsid w:val="00C83562"/>
    <w:rsid w:val="00C86BBC"/>
    <w:rsid w:val="00CB4416"/>
    <w:rsid w:val="00CB56BD"/>
    <w:rsid w:val="00CC2FFF"/>
    <w:rsid w:val="00CC5A29"/>
    <w:rsid w:val="00D1066E"/>
    <w:rsid w:val="00D140DD"/>
    <w:rsid w:val="00D20071"/>
    <w:rsid w:val="00D255B2"/>
    <w:rsid w:val="00D27BF6"/>
    <w:rsid w:val="00D350C7"/>
    <w:rsid w:val="00D44F56"/>
    <w:rsid w:val="00D54684"/>
    <w:rsid w:val="00D6774D"/>
    <w:rsid w:val="00D73BEA"/>
    <w:rsid w:val="00D83144"/>
    <w:rsid w:val="00D900B0"/>
    <w:rsid w:val="00D918E0"/>
    <w:rsid w:val="00D92FD3"/>
    <w:rsid w:val="00DA41C8"/>
    <w:rsid w:val="00DC0500"/>
    <w:rsid w:val="00DE1780"/>
    <w:rsid w:val="00DE3826"/>
    <w:rsid w:val="00DF0566"/>
    <w:rsid w:val="00E120E1"/>
    <w:rsid w:val="00E145A0"/>
    <w:rsid w:val="00E2383D"/>
    <w:rsid w:val="00E424BF"/>
    <w:rsid w:val="00E51FCA"/>
    <w:rsid w:val="00E62A16"/>
    <w:rsid w:val="00E6617A"/>
    <w:rsid w:val="00E95D67"/>
    <w:rsid w:val="00EA7F1F"/>
    <w:rsid w:val="00F12412"/>
    <w:rsid w:val="00F17A5B"/>
    <w:rsid w:val="00F22E8E"/>
    <w:rsid w:val="00F40D65"/>
    <w:rsid w:val="00F6149F"/>
    <w:rsid w:val="00F70055"/>
    <w:rsid w:val="00F7652F"/>
    <w:rsid w:val="00F848BE"/>
    <w:rsid w:val="00F92EE5"/>
    <w:rsid w:val="00FF59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1D2FE"/>
  <w15:docId w15:val="{3E7E5878-C5E1-429C-8796-59D02A95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SimSun"/>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ind w:leftChars="-1" w:left="-1" w:hangingChars="1" w:hanging="1"/>
      <w:textDirection w:val="btLr"/>
      <w:textAlignment w:val="top"/>
      <w:outlineLvl w:val="0"/>
    </w:pPr>
    <w:rPr>
      <w:rFonts w:cs="Calibri"/>
      <w:kern w:val="0"/>
      <w:position w:val="-1"/>
    </w:rPr>
  </w:style>
  <w:style w:type="paragraph" w:styleId="Heading1">
    <w:name w:val="heading 1"/>
    <w:basedOn w:val="Normal"/>
    <w:next w:val="Normal"/>
    <w:link w:val="Heading1Char"/>
    <w:uiPriority w:val="1"/>
    <w:qFormat/>
    <w:rsid w:val="00F17A5B"/>
    <w:pPr>
      <w:keepNext/>
      <w:keepLines/>
      <w:suppressAutoHyphens w:val="0"/>
      <w:spacing w:after="0" w:line="259" w:lineRule="auto"/>
      <w:ind w:leftChars="0" w:left="0" w:firstLineChars="0" w:firstLine="0"/>
      <w:textDirection w:val="lrTb"/>
      <w:textAlignment w:val="auto"/>
    </w:pPr>
    <w:rPr>
      <w:rFonts w:ascii="Times New Roman" w:eastAsiaTheme="majorEastAsia" w:hAnsi="Times New Roman" w:cstheme="majorBidi"/>
      <w:b/>
      <w:bCs/>
      <w:position w:val="0"/>
      <w:sz w:val="24"/>
      <w:szCs w:val="28"/>
      <w14:ligatures w14:val="none"/>
    </w:rPr>
  </w:style>
  <w:style w:type="paragraph" w:styleId="Heading2">
    <w:name w:val="heading 2"/>
    <w:basedOn w:val="Normal"/>
    <w:next w:val="Normal"/>
    <w:link w:val="Heading2Char"/>
    <w:uiPriority w:val="9"/>
    <w:semiHidden/>
    <w:unhideWhenUsed/>
    <w:qFormat/>
    <w:rsid w:val="001D662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pPr>
      <w:tabs>
        <w:tab w:val="center" w:pos="4680"/>
        <w:tab w:val="right" w:pos="9360"/>
      </w:tabs>
    </w:pPr>
  </w:style>
  <w:style w:type="character" w:customStyle="1" w:styleId="HeaderChar">
    <w:name w:val="Header Char"/>
    <w:basedOn w:val="DefaultParagraphFont"/>
    <w:link w:val="Header"/>
    <w:uiPriority w:val="99"/>
    <w:rPr>
      <w:rFonts w:ascii="Calibri" w:eastAsia="Calibri" w:hAnsi="Calibri" w:cs="Calibri"/>
      <w:kern w:val="0"/>
      <w:position w:val="-1"/>
    </w:rPr>
  </w:style>
  <w:style w:type="paragraph" w:styleId="Footer">
    <w:name w:val="footer"/>
    <w:basedOn w:val="Normal"/>
    <w:link w:val="FooterChar"/>
    <w:uiPriority w:val="99"/>
    <w:qFormat/>
    <w:pPr>
      <w:tabs>
        <w:tab w:val="center" w:pos="4680"/>
        <w:tab w:val="right" w:pos="9360"/>
      </w:tabs>
    </w:pPr>
  </w:style>
  <w:style w:type="character" w:customStyle="1" w:styleId="FooterChar">
    <w:name w:val="Footer Char"/>
    <w:basedOn w:val="DefaultParagraphFont"/>
    <w:link w:val="Footer"/>
    <w:uiPriority w:val="99"/>
    <w:rPr>
      <w:rFonts w:ascii="Calibri" w:eastAsia="Calibri" w:hAnsi="Calibri" w:cs="Calibri"/>
      <w:kern w:val="0"/>
      <w:position w:val="-1"/>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AC1311"/>
    <w:rPr>
      <w:color w:val="0000FF"/>
      <w:u w:val="single"/>
    </w:rPr>
  </w:style>
  <w:style w:type="paragraph" w:customStyle="1" w:styleId="Default">
    <w:name w:val="Default"/>
    <w:rsid w:val="005C014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ListParagraph1">
    <w:name w:val="List Paragraph1"/>
    <w:basedOn w:val="Normal"/>
    <w:uiPriority w:val="34"/>
    <w:qFormat/>
    <w:rsid w:val="00D44F56"/>
    <w:pPr>
      <w:suppressAutoHyphens w:val="0"/>
      <w:ind w:leftChars="0" w:left="720" w:firstLineChars="0" w:firstLine="0"/>
      <w:contextualSpacing/>
      <w:textDirection w:val="lrTb"/>
      <w:textAlignment w:val="auto"/>
      <w:outlineLvl w:val="9"/>
    </w:pPr>
    <w:rPr>
      <w:rFonts w:cs="Times New Roman"/>
      <w:position w:val="0"/>
      <w:lang w:val="en-GB"/>
      <w14:ligatures w14:val="none"/>
    </w:rPr>
  </w:style>
  <w:style w:type="character" w:styleId="UnresolvedMention">
    <w:name w:val="Unresolved Mention"/>
    <w:basedOn w:val="DefaultParagraphFont"/>
    <w:uiPriority w:val="99"/>
    <w:semiHidden/>
    <w:unhideWhenUsed/>
    <w:rsid w:val="00982F02"/>
    <w:rPr>
      <w:color w:val="605E5C"/>
      <w:shd w:val="clear" w:color="auto" w:fill="E1DFDD"/>
    </w:rPr>
  </w:style>
  <w:style w:type="character" w:customStyle="1" w:styleId="Heading1Char">
    <w:name w:val="Heading 1 Char"/>
    <w:basedOn w:val="DefaultParagraphFont"/>
    <w:link w:val="Heading1"/>
    <w:uiPriority w:val="9"/>
    <w:rsid w:val="00F17A5B"/>
    <w:rPr>
      <w:rFonts w:ascii="Times New Roman" w:eastAsiaTheme="majorEastAsia" w:hAnsi="Times New Roman" w:cstheme="majorBidi"/>
      <w:b/>
      <w:bCs/>
      <w:kern w:val="0"/>
      <w:sz w:val="24"/>
      <w:szCs w:val="28"/>
      <w14:ligatures w14:val="none"/>
    </w:rPr>
  </w:style>
  <w:style w:type="paragraph" w:styleId="NoSpacing">
    <w:name w:val="No Spacing"/>
    <w:uiPriority w:val="1"/>
    <w:qFormat/>
    <w:rsid w:val="00F17A5B"/>
    <w:pPr>
      <w:spacing w:after="0" w:line="240" w:lineRule="auto"/>
    </w:pPr>
    <w:rPr>
      <w:rFonts w:asciiTheme="minorHAnsi" w:eastAsiaTheme="minorHAnsi" w:hAnsiTheme="minorHAnsi" w:cstheme="minorBidi"/>
      <w:kern w:val="0"/>
      <w14:ligatures w14:val="none"/>
    </w:rPr>
  </w:style>
  <w:style w:type="paragraph" w:styleId="NormalWeb">
    <w:name w:val="Normal (Web)"/>
    <w:basedOn w:val="Normal"/>
    <w:uiPriority w:val="99"/>
    <w:unhideWhenUsed/>
    <w:qFormat/>
    <w:rsid w:val="00F17A5B"/>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14:ligatures w14:val="none"/>
    </w:rPr>
  </w:style>
  <w:style w:type="character" w:styleId="SubtleEmphasis">
    <w:name w:val="Subtle Emphasis"/>
    <w:basedOn w:val="DefaultParagraphFont"/>
    <w:uiPriority w:val="19"/>
    <w:qFormat/>
    <w:rsid w:val="00F17A5B"/>
    <w:rPr>
      <w:i/>
      <w:iCs/>
      <w:color w:val="404040" w:themeColor="text1" w:themeTint="BF"/>
    </w:rPr>
  </w:style>
  <w:style w:type="character" w:customStyle="1" w:styleId="Heading2Char">
    <w:name w:val="Heading 2 Char"/>
    <w:basedOn w:val="DefaultParagraphFont"/>
    <w:link w:val="Heading2"/>
    <w:uiPriority w:val="9"/>
    <w:semiHidden/>
    <w:rsid w:val="001D6626"/>
    <w:rPr>
      <w:rFonts w:asciiTheme="majorHAnsi" w:eastAsiaTheme="majorEastAsia" w:hAnsiTheme="majorHAnsi" w:cstheme="majorBidi"/>
      <w:color w:val="365F91" w:themeColor="accent1" w:themeShade="BF"/>
      <w:kern w:val="0"/>
      <w:position w:val="-1"/>
      <w:sz w:val="26"/>
      <w:szCs w:val="26"/>
    </w:rPr>
  </w:style>
  <w:style w:type="character" w:styleId="Strong">
    <w:name w:val="Strong"/>
    <w:basedOn w:val="DefaultParagraphFont"/>
    <w:uiPriority w:val="22"/>
    <w:qFormat/>
    <w:rsid w:val="001D6626"/>
    <w:rPr>
      <w:b/>
      <w:bCs/>
    </w:rPr>
  </w:style>
  <w:style w:type="character" w:customStyle="1" w:styleId="vkekvd">
    <w:name w:val="vkekvd"/>
    <w:basedOn w:val="DefaultParagraphFont"/>
    <w:rsid w:val="001D6626"/>
  </w:style>
  <w:style w:type="table" w:styleId="PlainTable2">
    <w:name w:val="Plain Table 2"/>
    <w:basedOn w:val="TableNormal"/>
    <w:uiPriority w:val="42"/>
    <w:rsid w:val="003902AD"/>
    <w:pPr>
      <w:spacing w:after="0" w:line="240" w:lineRule="auto"/>
    </w:pPr>
    <w:rPr>
      <w:rFonts w:asciiTheme="minorHAnsi" w:eastAsiaTheme="minorHAnsi" w:hAnsiTheme="minorHAnsi" w:cstheme="minorBidi"/>
      <w:sz w:val="24"/>
      <w:szCs w:val="24"/>
      <w:lang/>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nchor-text">
    <w:name w:val="anchor-text"/>
    <w:basedOn w:val="DefaultParagraphFont"/>
    <w:rsid w:val="0035135A"/>
  </w:style>
  <w:style w:type="table" w:customStyle="1" w:styleId="LightShading1">
    <w:name w:val="Light Shading1"/>
    <w:basedOn w:val="TableNormal"/>
    <w:uiPriority w:val="60"/>
    <w:rsid w:val="0035135A"/>
    <w:pPr>
      <w:spacing w:after="0" w:line="240" w:lineRule="auto"/>
    </w:pPr>
    <w:rPr>
      <w:rFonts w:asciiTheme="minorHAnsi" w:eastAsiaTheme="minorHAnsi" w:hAnsiTheme="minorHAnsi" w:cstheme="minorBidi"/>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E6617A"/>
    <w:rPr>
      <w:i/>
      <w:iCs/>
    </w:rPr>
  </w:style>
  <w:style w:type="paragraph" w:styleId="BodyText">
    <w:name w:val="Body Text"/>
    <w:basedOn w:val="Normal"/>
    <w:link w:val="BodyTextChar"/>
    <w:uiPriority w:val="1"/>
    <w:qFormat/>
    <w:rsid w:val="004107E7"/>
    <w:pPr>
      <w:widowControl w:val="0"/>
      <w:suppressAutoHyphens w:val="0"/>
      <w:autoSpaceDE w:val="0"/>
      <w:autoSpaceDN w:val="0"/>
      <w:spacing w:after="0"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14:ligatures w14:val="none"/>
    </w:rPr>
  </w:style>
  <w:style w:type="character" w:customStyle="1" w:styleId="BodyTextChar">
    <w:name w:val="Body Text Char"/>
    <w:basedOn w:val="DefaultParagraphFont"/>
    <w:link w:val="BodyText"/>
    <w:uiPriority w:val="1"/>
    <w:rsid w:val="004107E7"/>
    <w:rPr>
      <w:rFonts w:ascii="Times New Roman" w:eastAsia="Times New Roman" w:hAnsi="Times New Roman" w:cs="Times New Roman"/>
      <w:kern w:val="0"/>
      <w:sz w:val="24"/>
      <w:szCs w:val="24"/>
      <w14:ligatures w14:val="none"/>
    </w:rPr>
  </w:style>
  <w:style w:type="paragraph" w:styleId="Title">
    <w:name w:val="Title"/>
    <w:basedOn w:val="Normal"/>
    <w:link w:val="TitleChar"/>
    <w:uiPriority w:val="1"/>
    <w:qFormat/>
    <w:rsid w:val="004107E7"/>
    <w:pPr>
      <w:widowControl w:val="0"/>
      <w:suppressAutoHyphens w:val="0"/>
      <w:autoSpaceDE w:val="0"/>
      <w:autoSpaceDN w:val="0"/>
      <w:spacing w:before="59" w:after="0" w:line="240" w:lineRule="auto"/>
      <w:ind w:leftChars="0" w:left="3" w:right="721" w:firstLineChars="0" w:firstLine="0"/>
      <w:jc w:val="center"/>
      <w:textDirection w:val="lrTb"/>
      <w:textAlignment w:val="auto"/>
      <w:outlineLvl w:val="9"/>
    </w:pPr>
    <w:rPr>
      <w:rFonts w:ascii="Times New Roman" w:eastAsia="Times New Roman" w:hAnsi="Times New Roman" w:cs="Times New Roman"/>
      <w:b/>
      <w:bCs/>
      <w:position w:val="0"/>
      <w:sz w:val="28"/>
      <w:szCs w:val="28"/>
      <w14:ligatures w14:val="none"/>
    </w:rPr>
  </w:style>
  <w:style w:type="character" w:customStyle="1" w:styleId="TitleChar">
    <w:name w:val="Title Char"/>
    <w:basedOn w:val="DefaultParagraphFont"/>
    <w:link w:val="Title"/>
    <w:uiPriority w:val="1"/>
    <w:rsid w:val="004107E7"/>
    <w:rPr>
      <w:rFonts w:ascii="Times New Roman" w:eastAsia="Times New Roman" w:hAnsi="Times New Roman" w:cs="Times New Roman"/>
      <w:b/>
      <w:bCs/>
      <w:kern w:val="0"/>
      <w:sz w:val="28"/>
      <w:szCs w:val="28"/>
      <w14:ligatures w14:val="none"/>
    </w:rPr>
  </w:style>
  <w:style w:type="paragraph" w:customStyle="1" w:styleId="TableParagraph">
    <w:name w:val="Table Paragraph"/>
    <w:basedOn w:val="Normal"/>
    <w:uiPriority w:val="1"/>
    <w:qFormat/>
    <w:rsid w:val="004107E7"/>
    <w:pPr>
      <w:widowControl w:val="0"/>
      <w:suppressAutoHyphens w:val="0"/>
      <w:autoSpaceDE w:val="0"/>
      <w:autoSpaceDN w:val="0"/>
      <w:spacing w:after="0" w:line="210" w:lineRule="exact"/>
      <w:ind w:leftChars="0" w:left="4" w:firstLineChars="0" w:firstLine="0"/>
      <w:jc w:val="center"/>
      <w:textDirection w:val="lrTb"/>
      <w:textAlignment w:val="auto"/>
      <w:outlineLvl w:val="9"/>
    </w:pPr>
    <w:rPr>
      <w:rFonts w:ascii="Times New Roman" w:eastAsia="Times New Roman" w:hAnsi="Times New Roman" w:cs="Times New Roman"/>
      <w:position w:val="0"/>
      <w14:ligatures w14:val="none"/>
    </w:rPr>
  </w:style>
  <w:style w:type="paragraph" w:customStyle="1" w:styleId="Compact">
    <w:name w:val="Compact"/>
    <w:basedOn w:val="BodyText"/>
    <w:qFormat/>
    <w:rsid w:val="0021692A"/>
    <w:pPr>
      <w:widowControl/>
      <w:autoSpaceDE/>
      <w:autoSpaceDN/>
      <w:spacing w:after="120" w:line="259" w:lineRule="auto"/>
    </w:pPr>
    <w:rPr>
      <w:rFonts w:asciiTheme="minorHAnsi" w:eastAsiaTheme="minorHAnsi" w:hAnsiTheme="minorHAnsi" w:cstheme="minorBidi"/>
      <w:sz w:val="22"/>
      <w:szCs w:val="22"/>
      <w:lang w:val="en-GB"/>
    </w:rPr>
  </w:style>
  <w:style w:type="paragraph" w:customStyle="1" w:styleId="my-0">
    <w:name w:val="my-0"/>
    <w:basedOn w:val="Normal"/>
    <w:rsid w:val="004D2092"/>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14:ligatures w14:val="none"/>
    </w:rPr>
  </w:style>
  <w:style w:type="character" w:customStyle="1" w:styleId="mord">
    <w:name w:val="mord"/>
    <w:basedOn w:val="DefaultParagraphFont"/>
    <w:rsid w:val="000B6683"/>
  </w:style>
  <w:style w:type="character" w:customStyle="1" w:styleId="mbin">
    <w:name w:val="mbin"/>
    <w:basedOn w:val="DefaultParagraphFont"/>
    <w:rsid w:val="000B6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walyunus41@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arlynzigi86@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hyperlink" Target="https://doi.org/10.64348/zije.2026404"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4084</TotalTime>
  <Pages>8</Pages>
  <Words>5582</Words>
  <Characters>31822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Mr. Moh</cp:lastModifiedBy>
  <cp:revision>84</cp:revision>
  <cp:lastPrinted>2026-01-24T06:51:00Z</cp:lastPrinted>
  <dcterms:created xsi:type="dcterms:W3CDTF">2023-08-06T16:40:00Z</dcterms:created>
  <dcterms:modified xsi:type="dcterms:W3CDTF">2026-05-02T11:18:00Z</dcterms:modified>
</cp:coreProperties>
</file>